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072" w:type="dxa"/>
        <w:tblInd w:w="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835"/>
        <w:gridCol w:w="6237"/>
      </w:tblGrid>
      <w:tr w:rsidR="00907F75" w:rsidRPr="00422810" w14:paraId="1AD83A4E" w14:textId="77777777" w:rsidTr="00380D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5" w:type="dxa"/>
          </w:tcPr>
          <w:p w14:paraId="1FA085E8" w14:textId="77777777" w:rsidR="00907F75" w:rsidRPr="00422810" w:rsidRDefault="00E55C0C">
            <w:pPr>
              <w:spacing w:before="0" w:after="0"/>
              <w:rPr>
                <w:rFonts w:ascii="Californian FB" w:eastAsia="Lustria" w:hAnsi="Californian FB" w:cs="Lustria"/>
                <w:sz w:val="28"/>
                <w:szCs w:val="26"/>
              </w:rPr>
            </w:pPr>
            <w:r w:rsidRPr="00422810">
              <w:rPr>
                <w:rFonts w:ascii="Californian FB" w:eastAsia="Lustria" w:hAnsi="Californian FB" w:cs="Lustria"/>
                <w:i w:val="0"/>
                <w:sz w:val="28"/>
                <w:szCs w:val="26"/>
              </w:rPr>
              <w:t>Project Acronym:</w:t>
            </w:r>
          </w:p>
        </w:tc>
        <w:tc>
          <w:tcPr>
            <w:tcW w:w="6237" w:type="dxa"/>
          </w:tcPr>
          <w:p w14:paraId="6C3DD318" w14:textId="459527ED" w:rsidR="00907F75" w:rsidRPr="00422810" w:rsidRDefault="00E55C0C">
            <w:pPr>
              <w:spacing w:before="0" w:after="0"/>
              <w:cnfStyle w:val="100000000000" w:firstRow="1" w:lastRow="0" w:firstColumn="0" w:lastColumn="0" w:oddVBand="0" w:evenVBand="0" w:oddHBand="0"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UP</w:t>
            </w:r>
            <w:r w:rsidR="00B62DAA" w:rsidRPr="00422810">
              <w:rPr>
                <w:rFonts w:ascii="Californian FB" w:eastAsia="Lustria" w:hAnsi="Californian FB" w:cs="Lustria"/>
                <w:sz w:val="28"/>
                <w:szCs w:val="26"/>
              </w:rPr>
              <w:t>SCALE</w:t>
            </w:r>
          </w:p>
        </w:tc>
      </w:tr>
      <w:tr w:rsidR="00907F75" w:rsidRPr="00422810" w14:paraId="167F5C28" w14:textId="77777777" w:rsidTr="0038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74417C1A" w14:textId="77777777" w:rsidR="00907F75" w:rsidRPr="00422810" w:rsidRDefault="00E55C0C">
            <w:pPr>
              <w:spacing w:before="0" w:after="0"/>
              <w:rPr>
                <w:rFonts w:ascii="Californian FB" w:eastAsia="Lustria" w:hAnsi="Californian FB" w:cs="Lustria"/>
                <w:b/>
                <w:sz w:val="28"/>
                <w:szCs w:val="26"/>
              </w:rPr>
            </w:pPr>
            <w:r w:rsidRPr="00422810">
              <w:rPr>
                <w:rFonts w:ascii="Californian FB" w:eastAsia="Lustria" w:hAnsi="Californian FB" w:cs="Lustria"/>
                <w:b/>
                <w:i w:val="0"/>
                <w:sz w:val="28"/>
                <w:szCs w:val="26"/>
              </w:rPr>
              <w:t>Project No:</w:t>
            </w:r>
          </w:p>
        </w:tc>
        <w:tc>
          <w:tcPr>
            <w:tcW w:w="6237" w:type="dxa"/>
          </w:tcPr>
          <w:p w14:paraId="0F42F360" w14:textId="33C56777" w:rsidR="00907F75" w:rsidRPr="00422810" w:rsidRDefault="00B62DAA">
            <w:pPr>
              <w:spacing w:before="0" w:after="0"/>
              <w:cnfStyle w:val="000000100000" w:firstRow="0" w:lastRow="0" w:firstColumn="0" w:lastColumn="0" w:oddVBand="0" w:evenVBand="0" w:oddHBand="1"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101178037</w:t>
            </w:r>
          </w:p>
        </w:tc>
      </w:tr>
      <w:tr w:rsidR="00907F75" w:rsidRPr="00422810" w14:paraId="3C015B1D" w14:textId="77777777" w:rsidTr="00380D5F">
        <w:tc>
          <w:tcPr>
            <w:cnfStyle w:val="001000000000" w:firstRow="0" w:lastRow="0" w:firstColumn="1" w:lastColumn="0" w:oddVBand="0" w:evenVBand="0" w:oddHBand="0" w:evenHBand="0" w:firstRowFirstColumn="0" w:firstRowLastColumn="0" w:lastRowFirstColumn="0" w:lastRowLastColumn="0"/>
            <w:tcW w:w="2835" w:type="dxa"/>
          </w:tcPr>
          <w:p w14:paraId="2EFF1970" w14:textId="77777777" w:rsidR="00907F75" w:rsidRPr="00422810" w:rsidRDefault="00E55C0C">
            <w:pPr>
              <w:spacing w:before="0" w:after="0"/>
              <w:rPr>
                <w:rFonts w:ascii="Californian FB" w:eastAsia="Lustria" w:hAnsi="Californian FB" w:cs="Lustria"/>
                <w:b/>
                <w:sz w:val="28"/>
                <w:szCs w:val="26"/>
              </w:rPr>
            </w:pPr>
            <w:r w:rsidRPr="00422810">
              <w:rPr>
                <w:rFonts w:ascii="Californian FB" w:eastAsia="Lustria" w:hAnsi="Californian FB" w:cs="Lustria"/>
                <w:b/>
                <w:i w:val="0"/>
                <w:sz w:val="28"/>
                <w:szCs w:val="26"/>
              </w:rPr>
              <w:t>WP / Task:</w:t>
            </w:r>
          </w:p>
        </w:tc>
        <w:tc>
          <w:tcPr>
            <w:tcW w:w="6237" w:type="dxa"/>
          </w:tcPr>
          <w:p w14:paraId="0B7FAC4A" w14:textId="3E5A2DD7" w:rsidR="00907F75" w:rsidRPr="00422810" w:rsidRDefault="00E55C0C">
            <w:pPr>
              <w:spacing w:before="0" w:after="0"/>
              <w:cnfStyle w:val="000000000000" w:firstRow="0" w:lastRow="0" w:firstColumn="0" w:lastColumn="0" w:oddVBand="0" w:evenVBand="0" w:oddHBand="0"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WP</w:t>
            </w:r>
            <w:r w:rsidR="00F61DED" w:rsidRPr="00422810">
              <w:rPr>
                <w:rFonts w:ascii="Californian FB" w:eastAsia="Lustria" w:hAnsi="Californian FB" w:cs="Lustria"/>
                <w:sz w:val="28"/>
                <w:szCs w:val="26"/>
              </w:rPr>
              <w:t>2</w:t>
            </w:r>
            <w:r w:rsidRPr="00422810">
              <w:rPr>
                <w:rFonts w:ascii="Californian FB" w:eastAsia="Lustria" w:hAnsi="Californian FB" w:cs="Lustria"/>
                <w:sz w:val="28"/>
                <w:szCs w:val="26"/>
              </w:rPr>
              <w:t xml:space="preserve">/ </w:t>
            </w:r>
            <w:r w:rsidR="00F61DED" w:rsidRPr="00422810">
              <w:rPr>
                <w:rFonts w:ascii="Californian FB" w:eastAsia="Lustria" w:hAnsi="Californian FB" w:cs="Lustria"/>
                <w:sz w:val="28"/>
                <w:szCs w:val="26"/>
              </w:rPr>
              <w:t>MS5</w:t>
            </w:r>
            <w:r w:rsidRPr="00422810">
              <w:rPr>
                <w:rFonts w:ascii="Californian FB" w:eastAsia="Lustria" w:hAnsi="Californian FB" w:cs="Lustria"/>
                <w:sz w:val="28"/>
                <w:szCs w:val="26"/>
              </w:rPr>
              <w:t xml:space="preserve">- </w:t>
            </w:r>
            <w:r w:rsidR="00F61DED" w:rsidRPr="00422810">
              <w:rPr>
                <w:rFonts w:ascii="Californian FB" w:eastAsia="Lustria" w:hAnsi="Californian FB" w:cs="Lustria"/>
                <w:sz w:val="28"/>
                <w:szCs w:val="26"/>
              </w:rPr>
              <w:t>Benchmark report on best practices in monitoring HE graduates’ employability in EU</w:t>
            </w:r>
          </w:p>
        </w:tc>
      </w:tr>
      <w:tr w:rsidR="00907F75" w:rsidRPr="00422810" w14:paraId="60924390" w14:textId="77777777" w:rsidTr="00380D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Pr>
          <w:p w14:paraId="1B114546" w14:textId="77777777" w:rsidR="00907F75" w:rsidRPr="00422810" w:rsidRDefault="00E55C0C">
            <w:pPr>
              <w:spacing w:before="0" w:after="0"/>
              <w:rPr>
                <w:rFonts w:ascii="Californian FB" w:eastAsia="Lustria" w:hAnsi="Californian FB" w:cs="Lustria"/>
                <w:b/>
                <w:sz w:val="28"/>
                <w:szCs w:val="26"/>
              </w:rPr>
            </w:pPr>
            <w:r w:rsidRPr="00422810">
              <w:rPr>
                <w:rFonts w:ascii="Californian FB" w:eastAsia="Lustria" w:hAnsi="Californian FB" w:cs="Lustria"/>
                <w:b/>
                <w:i w:val="0"/>
                <w:sz w:val="28"/>
                <w:szCs w:val="26"/>
              </w:rPr>
              <w:t>Project partner (s)</w:t>
            </w:r>
          </w:p>
        </w:tc>
        <w:tc>
          <w:tcPr>
            <w:tcW w:w="6237" w:type="dxa"/>
          </w:tcPr>
          <w:p w14:paraId="009B4AD3" w14:textId="4BAD5A75" w:rsidR="00907F75" w:rsidRPr="00422810" w:rsidRDefault="00E55C0C">
            <w:pPr>
              <w:spacing w:before="0" w:after="0"/>
              <w:cnfStyle w:val="000000100000" w:firstRow="0" w:lastRow="0" w:firstColumn="0" w:lastColumn="0" w:oddVBand="0" w:evenVBand="0" w:oddHBand="1" w:evenHBand="0" w:firstRowFirstColumn="0" w:firstRowLastColumn="0" w:lastRowFirstColumn="0" w:lastRowLastColumn="0"/>
              <w:rPr>
                <w:rFonts w:ascii="Californian FB" w:eastAsia="Lustria" w:hAnsi="Californian FB" w:cs="Lustria"/>
                <w:sz w:val="28"/>
                <w:szCs w:val="26"/>
              </w:rPr>
            </w:pPr>
            <w:r w:rsidRPr="00422810">
              <w:rPr>
                <w:rFonts w:ascii="Californian FB" w:eastAsia="Lustria" w:hAnsi="Californian FB" w:cs="Lustria"/>
                <w:sz w:val="28"/>
                <w:szCs w:val="26"/>
              </w:rPr>
              <w:t>P1-P</w:t>
            </w:r>
            <w:r w:rsidR="00B62DAA" w:rsidRPr="00422810">
              <w:rPr>
                <w:rFonts w:ascii="Californian FB" w:eastAsia="Lustria" w:hAnsi="Californian FB" w:cs="Lustria"/>
                <w:sz w:val="28"/>
                <w:szCs w:val="26"/>
              </w:rPr>
              <w:t>9</w:t>
            </w:r>
          </w:p>
        </w:tc>
      </w:tr>
    </w:tbl>
    <w:p w14:paraId="34CCBBED" w14:textId="77777777" w:rsidR="00907F75" w:rsidRPr="00422810" w:rsidRDefault="00907F75">
      <w:pPr>
        <w:spacing w:before="0" w:after="0"/>
        <w:rPr>
          <w:rFonts w:ascii="Californian FB" w:hAnsi="Californian FB"/>
        </w:rPr>
      </w:pPr>
    </w:p>
    <w:p w14:paraId="693FC5F5" w14:textId="77777777" w:rsidR="00907F75" w:rsidRPr="00422810" w:rsidRDefault="00907F75">
      <w:pPr>
        <w:spacing w:before="0" w:after="0"/>
        <w:rPr>
          <w:rFonts w:ascii="Californian FB" w:eastAsia="Lustria" w:hAnsi="Californian FB" w:cs="Lustria"/>
          <w:sz w:val="28"/>
          <w:szCs w:val="26"/>
        </w:rPr>
      </w:pPr>
    </w:p>
    <w:p w14:paraId="34CB2BF1" w14:textId="6DBA8EBE" w:rsidR="00422810" w:rsidRPr="00422810" w:rsidRDefault="00422810" w:rsidP="00422810">
      <w:pPr>
        <w:spacing w:before="0" w:after="0"/>
        <w:jc w:val="center"/>
        <w:rPr>
          <w:rFonts w:ascii="Californian FB" w:eastAsia="Lustria" w:hAnsi="Californian FB" w:cs="Lustria"/>
          <w:color w:val="C00000"/>
          <w:sz w:val="72"/>
          <w:szCs w:val="60"/>
        </w:rPr>
      </w:pPr>
      <w:r w:rsidRPr="00422810">
        <w:rPr>
          <w:rFonts w:ascii="Californian FB" w:eastAsia="Lustria" w:hAnsi="Californian FB" w:cs="Lustria"/>
          <w:b/>
          <w:color w:val="C00000"/>
          <w:sz w:val="52"/>
          <w:szCs w:val="50"/>
        </w:rPr>
        <w:t>BENCHMARK REPORT</w:t>
      </w:r>
    </w:p>
    <w:p w14:paraId="4E9A272A" w14:textId="7AE4D789" w:rsidR="00907F75" w:rsidRPr="00422810" w:rsidRDefault="00422810" w:rsidP="00422810">
      <w:pPr>
        <w:spacing w:before="0"/>
        <w:jc w:val="center"/>
        <w:rPr>
          <w:rFonts w:ascii="Californian FB" w:eastAsia="Lustria" w:hAnsi="Californian FB" w:cs="Lustria"/>
          <w:b/>
          <w:color w:val="002060"/>
          <w:sz w:val="28"/>
          <w:szCs w:val="26"/>
        </w:rPr>
      </w:pPr>
      <w:r w:rsidRPr="00422810">
        <w:rPr>
          <w:rFonts w:ascii="Californian FB" w:eastAsia="Lustria" w:hAnsi="Californian FB" w:cs="Lustria"/>
          <w:b/>
          <w:color w:val="002060"/>
          <w:sz w:val="28"/>
          <w:szCs w:val="26"/>
        </w:rPr>
        <w:t>on best practices in monitoring HE graduates' employability in EU</w:t>
      </w:r>
    </w:p>
    <w:p w14:paraId="0ADD43F6" w14:textId="77777777" w:rsidR="00907F75" w:rsidRPr="00422810" w:rsidRDefault="00907F75">
      <w:pPr>
        <w:spacing w:before="0" w:after="0"/>
        <w:jc w:val="center"/>
        <w:rPr>
          <w:rFonts w:ascii="Californian FB" w:eastAsia="Lustria" w:hAnsi="Californian FB" w:cs="Lustria"/>
          <w:b/>
        </w:rPr>
      </w:pPr>
    </w:p>
    <w:p w14:paraId="5919C3E0" w14:textId="7D6C4555" w:rsidR="002157F5" w:rsidRPr="00E65F69" w:rsidRDefault="00422810" w:rsidP="001B3D58">
      <w:pPr>
        <w:pStyle w:val="ListParagraph"/>
        <w:numPr>
          <w:ilvl w:val="0"/>
          <w:numId w:val="14"/>
        </w:numPr>
        <w:spacing w:before="0" w:after="160" w:line="360" w:lineRule="auto"/>
        <w:rPr>
          <w:rFonts w:ascii="Californian FB" w:eastAsia="Lustria" w:hAnsi="Californian FB" w:cs="Lustria"/>
          <w:b/>
          <w:bCs/>
          <w:color w:val="000000"/>
          <w:sz w:val="28"/>
          <w:szCs w:val="28"/>
        </w:rPr>
      </w:pPr>
      <w:r w:rsidRPr="00DB5C0D">
        <w:rPr>
          <w:rFonts w:ascii="Californian FB" w:eastAsia="Lustria" w:hAnsi="Californian FB" w:cs="Lustria"/>
          <w:b/>
          <w:bCs/>
          <w:color w:val="000000"/>
          <w:sz w:val="28"/>
          <w:szCs w:val="28"/>
        </w:rPr>
        <w:t>Introduction:</w:t>
      </w:r>
      <w:r w:rsidR="00E65F69">
        <w:rPr>
          <w:rFonts w:ascii="Californian FB" w:eastAsia="Lustria" w:hAnsi="Californian FB" w:cs="Lustria"/>
          <w:b/>
          <w:bCs/>
          <w:color w:val="000000"/>
          <w:sz w:val="28"/>
          <w:szCs w:val="28"/>
        </w:rPr>
        <w:t xml:space="preserve"> Key Initiatives,</w:t>
      </w:r>
      <w:r w:rsidRPr="00DB5C0D">
        <w:rPr>
          <w:rFonts w:ascii="Californian FB" w:eastAsia="Lustria" w:hAnsi="Californian FB" w:cs="Lustria"/>
          <w:b/>
          <w:bCs/>
          <w:color w:val="000000"/>
          <w:sz w:val="28"/>
          <w:szCs w:val="28"/>
        </w:rPr>
        <w:t xml:space="preserve"> </w:t>
      </w:r>
      <w:r w:rsidR="00E65F69" w:rsidRPr="00E65F69">
        <w:rPr>
          <w:rFonts w:ascii="Californian FB" w:eastAsia="Lustria" w:hAnsi="Californian FB" w:cs="Lustria"/>
          <w:b/>
          <w:bCs/>
          <w:color w:val="000000"/>
          <w:sz w:val="28"/>
          <w:szCs w:val="28"/>
        </w:rPr>
        <w:t>Policy and non-policy documents</w:t>
      </w:r>
    </w:p>
    <w:p w14:paraId="3940E342" w14:textId="64B77D68" w:rsidR="001859BD" w:rsidRPr="001B3D58" w:rsidRDefault="00025908" w:rsidP="001B3D58">
      <w:pPr>
        <w:spacing w:before="0" w:after="160" w:line="360" w:lineRule="auto"/>
        <w:ind w:left="360"/>
        <w:rPr>
          <w:rFonts w:ascii="Californian FB" w:eastAsia="Lustria" w:hAnsi="Californian FB" w:cs="Lustria"/>
          <w:bCs/>
          <w:color w:val="000000"/>
          <w:sz w:val="28"/>
          <w:szCs w:val="28"/>
        </w:rPr>
      </w:pPr>
      <w:r>
        <w:rPr>
          <w:rFonts w:ascii="Californian FB" w:eastAsia="Lustria" w:hAnsi="Californian FB" w:cs="Lustria"/>
          <w:color w:val="000000"/>
          <w:sz w:val="28"/>
          <w:szCs w:val="28"/>
          <w:lang w:val="en-US"/>
        </w:rPr>
        <w:t xml:space="preserve">Over the years, </w:t>
      </w:r>
      <w:r w:rsidRPr="00312BA8">
        <w:rPr>
          <w:rFonts w:ascii="Californian FB" w:eastAsia="Lustria" w:hAnsi="Californian FB" w:cs="Lustria"/>
          <w:color w:val="000000"/>
          <w:sz w:val="28"/>
          <w:szCs w:val="28"/>
          <w:lang w:val="en-US"/>
        </w:rPr>
        <w:t xml:space="preserve">graduates’ employability </w:t>
      </w:r>
      <w:r>
        <w:rPr>
          <w:rFonts w:ascii="Californian FB" w:eastAsia="Lustria" w:hAnsi="Californian FB" w:cs="Lustria"/>
          <w:color w:val="000000"/>
          <w:sz w:val="28"/>
          <w:szCs w:val="28"/>
          <w:lang w:val="en-US"/>
        </w:rPr>
        <w:t>m</w:t>
      </w:r>
      <w:r w:rsidRPr="00312BA8">
        <w:rPr>
          <w:rFonts w:ascii="Californian FB" w:eastAsia="Lustria" w:hAnsi="Californian FB" w:cs="Lustria"/>
          <w:color w:val="000000"/>
          <w:sz w:val="28"/>
          <w:szCs w:val="28"/>
          <w:lang w:val="en-US"/>
        </w:rPr>
        <w:t xml:space="preserve">onitoring has gained importance </w:t>
      </w:r>
      <w:r w:rsidR="001859BD">
        <w:rPr>
          <w:rFonts w:ascii="Californian FB" w:eastAsia="Lustria" w:hAnsi="Californian FB" w:cs="Lustria"/>
          <w:color w:val="000000"/>
          <w:sz w:val="28"/>
          <w:szCs w:val="28"/>
          <w:lang w:val="en-US"/>
        </w:rPr>
        <w:t>in England and</w:t>
      </w:r>
      <w:r>
        <w:rPr>
          <w:rFonts w:ascii="Californian FB" w:eastAsia="Lustria" w:hAnsi="Californian FB" w:cs="Lustria"/>
          <w:color w:val="000000"/>
          <w:sz w:val="28"/>
          <w:szCs w:val="28"/>
          <w:lang w:val="en-US"/>
        </w:rPr>
        <w:t xml:space="preserve"> multiple stakeholders such as i</w:t>
      </w:r>
      <w:r w:rsidR="00312BA8" w:rsidRPr="00312BA8">
        <w:rPr>
          <w:rFonts w:ascii="Californian FB" w:eastAsia="Lustria" w:hAnsi="Californian FB" w:cs="Lustria"/>
          <w:color w:val="000000"/>
          <w:sz w:val="28"/>
          <w:szCs w:val="28"/>
          <w:lang w:val="en-US"/>
        </w:rPr>
        <w:t>nstitutions</w:t>
      </w:r>
      <w:r>
        <w:rPr>
          <w:rFonts w:ascii="Californian FB" w:eastAsia="Lustria" w:hAnsi="Californian FB" w:cs="Lustria"/>
          <w:color w:val="000000"/>
          <w:sz w:val="28"/>
          <w:szCs w:val="28"/>
          <w:lang w:val="en-US"/>
        </w:rPr>
        <w:t xml:space="preserve"> of higher education, policymakers</w:t>
      </w:r>
      <w:r w:rsidR="00312BA8" w:rsidRPr="00312BA8">
        <w:rPr>
          <w:rFonts w:ascii="Californian FB" w:eastAsia="Lustria" w:hAnsi="Californian FB" w:cs="Lustria"/>
          <w:color w:val="000000"/>
          <w:sz w:val="28"/>
          <w:szCs w:val="28"/>
          <w:lang w:val="en-US"/>
        </w:rPr>
        <w:t xml:space="preserve"> and employers seek to ensure that graduates have the skills and competencies necessary to thrive in the labor market. </w:t>
      </w:r>
      <w:r w:rsidR="001859BD" w:rsidRPr="00025908">
        <w:rPr>
          <w:rFonts w:ascii="Californian FB" w:eastAsia="Lustria" w:hAnsi="Californian FB" w:cs="Lustria"/>
          <w:bCs/>
          <w:color w:val="000000"/>
          <w:sz w:val="28"/>
          <w:szCs w:val="28"/>
        </w:rPr>
        <w:t xml:space="preserve">In response to changing </w:t>
      </w:r>
      <w:proofErr w:type="spellStart"/>
      <w:r w:rsidR="001859BD" w:rsidRPr="00025908">
        <w:rPr>
          <w:rFonts w:ascii="Californian FB" w:eastAsia="Lustria" w:hAnsi="Californian FB" w:cs="Lustria"/>
          <w:bCs/>
          <w:color w:val="000000"/>
          <w:sz w:val="28"/>
          <w:szCs w:val="28"/>
        </w:rPr>
        <w:t>labor</w:t>
      </w:r>
      <w:proofErr w:type="spellEnd"/>
      <w:r w:rsidR="001859BD" w:rsidRPr="00025908">
        <w:rPr>
          <w:rFonts w:ascii="Californian FB" w:eastAsia="Lustria" w:hAnsi="Californian FB" w:cs="Lustria"/>
          <w:bCs/>
          <w:color w:val="000000"/>
          <w:sz w:val="28"/>
          <w:szCs w:val="28"/>
        </w:rPr>
        <w:t xml:space="preserve"> market demand</w:t>
      </w:r>
      <w:r w:rsidR="001859BD">
        <w:rPr>
          <w:rFonts w:ascii="Californian FB" w:eastAsia="Lustria" w:hAnsi="Californian FB" w:cs="Lustria"/>
          <w:bCs/>
          <w:color w:val="000000"/>
          <w:sz w:val="28"/>
          <w:szCs w:val="28"/>
        </w:rPr>
        <w:t>s and educational expectations, England’s n</w:t>
      </w:r>
      <w:r w:rsidR="001859BD" w:rsidRPr="00025908">
        <w:rPr>
          <w:rFonts w:ascii="Californian FB" w:eastAsia="Lustria" w:hAnsi="Californian FB" w:cs="Lustria"/>
          <w:bCs/>
          <w:color w:val="000000"/>
          <w:sz w:val="28"/>
          <w:szCs w:val="28"/>
        </w:rPr>
        <w:t xml:space="preserve">ational policies on graduate employability </w:t>
      </w:r>
      <w:r w:rsidR="001859BD">
        <w:rPr>
          <w:rFonts w:ascii="Californian FB" w:eastAsia="Lustria" w:hAnsi="Californian FB" w:cs="Lustria"/>
          <w:bCs/>
          <w:color w:val="000000"/>
          <w:sz w:val="28"/>
          <w:szCs w:val="28"/>
        </w:rPr>
        <w:t xml:space="preserve">have evolved significantly. Such </w:t>
      </w:r>
      <w:r w:rsidR="001859BD" w:rsidRPr="00025908">
        <w:rPr>
          <w:rFonts w:ascii="Californian FB" w:eastAsia="Lustria" w:hAnsi="Californian FB" w:cs="Lustria"/>
          <w:bCs/>
          <w:color w:val="000000"/>
          <w:sz w:val="28"/>
          <w:szCs w:val="28"/>
        </w:rPr>
        <w:t xml:space="preserve">policies </w:t>
      </w:r>
      <w:r w:rsidR="001859BD">
        <w:rPr>
          <w:rFonts w:ascii="Californian FB" w:eastAsia="Lustria" w:hAnsi="Californian FB" w:cs="Lustria"/>
          <w:bCs/>
          <w:color w:val="000000"/>
          <w:sz w:val="28"/>
          <w:szCs w:val="28"/>
        </w:rPr>
        <w:t xml:space="preserve">are </w:t>
      </w:r>
      <w:r w:rsidR="001859BD" w:rsidRPr="00025908">
        <w:rPr>
          <w:rFonts w:ascii="Californian FB" w:eastAsia="Lustria" w:hAnsi="Californian FB" w:cs="Lustria"/>
          <w:bCs/>
          <w:color w:val="000000"/>
          <w:sz w:val="28"/>
          <w:szCs w:val="28"/>
        </w:rPr>
        <w:t>aim</w:t>
      </w:r>
      <w:r w:rsidR="001859BD">
        <w:rPr>
          <w:rFonts w:ascii="Californian FB" w:eastAsia="Lustria" w:hAnsi="Californian FB" w:cs="Lustria"/>
          <w:bCs/>
          <w:color w:val="000000"/>
          <w:sz w:val="28"/>
          <w:szCs w:val="28"/>
        </w:rPr>
        <w:t>ed</w:t>
      </w:r>
      <w:r w:rsidR="001859BD" w:rsidRPr="00025908">
        <w:rPr>
          <w:rFonts w:ascii="Californian FB" w:eastAsia="Lustria" w:hAnsi="Californian FB" w:cs="Lustria"/>
          <w:bCs/>
          <w:color w:val="000000"/>
          <w:sz w:val="28"/>
          <w:szCs w:val="28"/>
        </w:rPr>
        <w:t xml:space="preserve"> to enhance the employability of graduates through various initiatives, such as promoti</w:t>
      </w:r>
      <w:r w:rsidR="001859BD">
        <w:rPr>
          <w:rFonts w:ascii="Californian FB" w:eastAsia="Lustria" w:hAnsi="Californian FB" w:cs="Lustria"/>
          <w:bCs/>
          <w:color w:val="000000"/>
          <w:sz w:val="28"/>
          <w:szCs w:val="28"/>
        </w:rPr>
        <w:t>ng internships, apprenticeships, as well as promoting</w:t>
      </w:r>
      <w:r w:rsidR="001859BD" w:rsidRPr="00025908">
        <w:rPr>
          <w:rFonts w:ascii="Californian FB" w:eastAsia="Lustria" w:hAnsi="Californian FB" w:cs="Lustria"/>
          <w:bCs/>
          <w:color w:val="000000"/>
          <w:sz w:val="28"/>
          <w:szCs w:val="28"/>
        </w:rPr>
        <w:t xml:space="preserve"> collaborations between higher education institutions and employers. The UK government has introduced several frameworks including but not limited to the following; </w:t>
      </w:r>
    </w:p>
    <w:p w14:paraId="2A493D2B" w14:textId="2ED2889C" w:rsidR="00E65F69" w:rsidRDefault="00312BA8" w:rsidP="001B3D58">
      <w:pPr>
        <w:spacing w:before="0" w:after="160" w:line="360" w:lineRule="auto"/>
        <w:ind w:left="360"/>
        <w:rPr>
          <w:rFonts w:ascii="Californian FB" w:eastAsia="Lustria" w:hAnsi="Californian FB" w:cs="Lustria"/>
          <w:color w:val="000000"/>
          <w:sz w:val="28"/>
          <w:szCs w:val="28"/>
          <w:lang w:val="en-US"/>
        </w:rPr>
      </w:pPr>
      <w:r>
        <w:rPr>
          <w:rFonts w:ascii="Californian FB" w:eastAsia="Lustria" w:hAnsi="Californian FB" w:cs="Lustria"/>
          <w:color w:val="000000"/>
          <w:sz w:val="28"/>
          <w:szCs w:val="28"/>
          <w:lang w:val="en-US"/>
        </w:rPr>
        <w:t xml:space="preserve">This report provides an overview of the current practices in England </w:t>
      </w:r>
      <w:r w:rsidR="00025908">
        <w:rPr>
          <w:rFonts w:ascii="Californian FB" w:eastAsia="Lustria" w:hAnsi="Californian FB" w:cs="Lustria"/>
          <w:color w:val="000000"/>
          <w:sz w:val="28"/>
          <w:szCs w:val="28"/>
          <w:lang w:val="en-US"/>
        </w:rPr>
        <w:t xml:space="preserve">Universities, </w:t>
      </w:r>
      <w:r w:rsidR="00E65F69">
        <w:rPr>
          <w:rFonts w:ascii="Californian FB" w:eastAsia="Lustria" w:hAnsi="Californian FB" w:cs="Lustria"/>
          <w:color w:val="000000"/>
          <w:sz w:val="28"/>
          <w:szCs w:val="28"/>
          <w:lang w:val="en-US"/>
        </w:rPr>
        <w:t>highlighting on the k</w:t>
      </w:r>
      <w:r w:rsidRPr="00312BA8">
        <w:rPr>
          <w:rFonts w:ascii="Californian FB" w:eastAsia="Lustria" w:hAnsi="Californian FB" w:cs="Lustria"/>
          <w:color w:val="000000"/>
          <w:sz w:val="28"/>
          <w:szCs w:val="28"/>
          <w:lang w:val="en-US"/>
        </w:rPr>
        <w:t xml:space="preserve">ey </w:t>
      </w:r>
      <w:r w:rsidR="00E65F69">
        <w:rPr>
          <w:rFonts w:ascii="Californian FB" w:eastAsia="Lustria" w:hAnsi="Californian FB" w:cs="Lustria"/>
          <w:color w:val="000000"/>
          <w:sz w:val="28"/>
          <w:szCs w:val="28"/>
          <w:lang w:val="en-US"/>
        </w:rPr>
        <w:t xml:space="preserve">policy frameworks, as well as the various </w:t>
      </w:r>
      <w:r w:rsidRPr="00312BA8">
        <w:rPr>
          <w:rFonts w:ascii="Californian FB" w:eastAsia="Lustria" w:hAnsi="Californian FB" w:cs="Lustria"/>
          <w:color w:val="000000"/>
          <w:sz w:val="28"/>
          <w:szCs w:val="28"/>
          <w:lang w:val="en-US"/>
        </w:rPr>
        <w:t xml:space="preserve">initiatives </w:t>
      </w:r>
      <w:r w:rsidR="00E65F69">
        <w:rPr>
          <w:rFonts w:ascii="Californian FB" w:eastAsia="Lustria" w:hAnsi="Californian FB" w:cs="Lustria"/>
          <w:color w:val="000000"/>
          <w:sz w:val="28"/>
          <w:szCs w:val="28"/>
          <w:lang w:val="en-US"/>
        </w:rPr>
        <w:t xml:space="preserve">adopted </w:t>
      </w:r>
      <w:r w:rsidR="00025908">
        <w:rPr>
          <w:rFonts w:ascii="Californian FB" w:eastAsia="Lustria" w:hAnsi="Californian FB" w:cs="Lustria"/>
          <w:color w:val="000000"/>
          <w:sz w:val="28"/>
          <w:szCs w:val="28"/>
          <w:lang w:val="en-US"/>
        </w:rPr>
        <w:t>at</w:t>
      </w:r>
      <w:r w:rsidR="00E65F69">
        <w:rPr>
          <w:rFonts w:ascii="Californian FB" w:eastAsia="Lustria" w:hAnsi="Californian FB" w:cs="Lustria"/>
          <w:color w:val="000000"/>
          <w:sz w:val="28"/>
          <w:szCs w:val="28"/>
          <w:lang w:val="en-US"/>
        </w:rPr>
        <w:t xml:space="preserve"> </w:t>
      </w:r>
      <w:r w:rsidR="00025908">
        <w:rPr>
          <w:rFonts w:ascii="Californian FB" w:eastAsia="Lustria" w:hAnsi="Californian FB" w:cs="Lustria"/>
          <w:color w:val="000000"/>
          <w:sz w:val="28"/>
          <w:szCs w:val="28"/>
          <w:lang w:val="en-US"/>
        </w:rPr>
        <w:t>institutional level.</w:t>
      </w:r>
      <w:r w:rsidR="001859BD">
        <w:rPr>
          <w:rFonts w:ascii="Californian FB" w:eastAsia="Lustria" w:hAnsi="Californian FB" w:cs="Lustria"/>
          <w:color w:val="000000"/>
          <w:sz w:val="28"/>
          <w:szCs w:val="28"/>
          <w:lang w:val="en-US"/>
        </w:rPr>
        <w:t xml:space="preserve"> The benchmarking report is </w:t>
      </w:r>
      <w:r w:rsidR="001859BD" w:rsidRPr="001859BD">
        <w:rPr>
          <w:rFonts w:ascii="Californian FB" w:eastAsia="Lustria" w:hAnsi="Californian FB" w:cs="Lustria"/>
          <w:color w:val="000000"/>
          <w:sz w:val="28"/>
          <w:szCs w:val="28"/>
        </w:rPr>
        <w:t>aim</w:t>
      </w:r>
      <w:r w:rsidR="001859BD">
        <w:rPr>
          <w:rFonts w:ascii="Californian FB" w:eastAsia="Lustria" w:hAnsi="Californian FB" w:cs="Lustria"/>
          <w:color w:val="000000"/>
          <w:sz w:val="28"/>
          <w:szCs w:val="28"/>
        </w:rPr>
        <w:t>ed</w:t>
      </w:r>
      <w:r w:rsidR="001859BD" w:rsidRPr="001859BD">
        <w:rPr>
          <w:rFonts w:ascii="Californian FB" w:eastAsia="Lustria" w:hAnsi="Californian FB" w:cs="Lustria"/>
          <w:color w:val="000000"/>
          <w:sz w:val="28"/>
          <w:szCs w:val="28"/>
        </w:rPr>
        <w:t xml:space="preserve"> of informing the development of graduate tracking mechanisms in Botswana and </w:t>
      </w:r>
      <w:proofErr w:type="spellStart"/>
      <w:r w:rsidR="001859BD" w:rsidRPr="001859BD">
        <w:rPr>
          <w:rFonts w:ascii="Californian FB" w:eastAsia="Lustria" w:hAnsi="Californian FB" w:cs="Lustria"/>
          <w:color w:val="000000"/>
          <w:sz w:val="28"/>
          <w:szCs w:val="28"/>
        </w:rPr>
        <w:t>Eswatini</w:t>
      </w:r>
      <w:proofErr w:type="spellEnd"/>
      <w:r w:rsidR="001859BD" w:rsidRPr="001859BD">
        <w:rPr>
          <w:rFonts w:ascii="Californian FB" w:eastAsia="Lustria" w:hAnsi="Californian FB" w:cs="Lustria"/>
          <w:color w:val="000000"/>
          <w:sz w:val="28"/>
          <w:szCs w:val="28"/>
        </w:rPr>
        <w:t xml:space="preserve"> under the UPSACLE Erasmus+ Project</w:t>
      </w:r>
    </w:p>
    <w:p w14:paraId="304247F6" w14:textId="63D6DE15" w:rsidR="008004AD" w:rsidRPr="001B3D58" w:rsidRDefault="00312BA8" w:rsidP="001B3D58">
      <w:pPr>
        <w:pStyle w:val="ListParagraph"/>
        <w:numPr>
          <w:ilvl w:val="0"/>
          <w:numId w:val="18"/>
        </w:numPr>
        <w:spacing w:before="0" w:after="160" w:line="360" w:lineRule="auto"/>
        <w:rPr>
          <w:rFonts w:ascii="Californian FB" w:eastAsia="Lustria" w:hAnsi="Californian FB" w:cs="Lustria"/>
          <w:bCs/>
          <w:color w:val="000000"/>
          <w:sz w:val="28"/>
          <w:szCs w:val="28"/>
          <w:lang w:val="en-BW"/>
        </w:rPr>
      </w:pPr>
      <w:r w:rsidRPr="00312BA8">
        <w:rPr>
          <w:rFonts w:ascii="Californian FB" w:eastAsia="Lustria" w:hAnsi="Californian FB" w:cs="Lustria"/>
          <w:b/>
          <w:bCs/>
          <w:color w:val="000000"/>
          <w:sz w:val="28"/>
          <w:szCs w:val="28"/>
        </w:rPr>
        <w:t>Graduate Outcomes Survey</w:t>
      </w:r>
      <w:r w:rsidR="001859BD">
        <w:rPr>
          <w:rFonts w:ascii="Californian FB" w:eastAsia="Lustria" w:hAnsi="Californian FB" w:cs="Lustria"/>
          <w:b/>
          <w:bCs/>
          <w:color w:val="000000"/>
          <w:sz w:val="28"/>
          <w:szCs w:val="28"/>
        </w:rPr>
        <w:t xml:space="preserve"> (GOS)</w:t>
      </w:r>
      <w:r w:rsidRPr="00312BA8">
        <w:rPr>
          <w:rFonts w:ascii="Californian FB" w:eastAsia="Lustria" w:hAnsi="Californian FB" w:cs="Lustria"/>
          <w:bCs/>
          <w:color w:val="000000"/>
          <w:sz w:val="28"/>
          <w:szCs w:val="28"/>
        </w:rPr>
        <w:t xml:space="preserve">, </w:t>
      </w:r>
      <w:r w:rsidR="001859BD">
        <w:rPr>
          <w:rFonts w:ascii="Californian FB" w:eastAsia="Lustria" w:hAnsi="Californian FB" w:cs="Lustria"/>
          <w:bCs/>
          <w:color w:val="000000"/>
          <w:sz w:val="28"/>
          <w:szCs w:val="28"/>
        </w:rPr>
        <w:t>in</w:t>
      </w:r>
      <w:r w:rsidR="001859BD" w:rsidRPr="001859BD">
        <w:rPr>
          <w:rFonts w:ascii="Californian FB" w:eastAsia="Lustria" w:hAnsi="Californian FB" w:cs="Lustria"/>
          <w:bCs/>
          <w:color w:val="000000"/>
          <w:sz w:val="28"/>
          <w:szCs w:val="28"/>
        </w:rPr>
        <w:t xml:space="preserve">troduced in 2018 by the Higher Education Statistics Agency (HESA), </w:t>
      </w:r>
      <w:r w:rsidR="00025908">
        <w:rPr>
          <w:rFonts w:ascii="Californian FB" w:eastAsia="Lustria" w:hAnsi="Californian FB" w:cs="Lustria"/>
          <w:bCs/>
          <w:color w:val="000000"/>
          <w:sz w:val="28"/>
          <w:szCs w:val="28"/>
        </w:rPr>
        <w:t>this platform</w:t>
      </w:r>
      <w:r w:rsidRPr="00312BA8">
        <w:rPr>
          <w:rFonts w:ascii="Californian FB" w:eastAsia="Lustria" w:hAnsi="Californian FB" w:cs="Lustria"/>
          <w:bCs/>
          <w:color w:val="000000"/>
          <w:sz w:val="28"/>
          <w:szCs w:val="28"/>
        </w:rPr>
        <w:t xml:space="preserve"> collects data on the</w:t>
      </w:r>
      <w:r w:rsidR="0090256D">
        <w:rPr>
          <w:rFonts w:ascii="Californian FB" w:eastAsia="Lustria" w:hAnsi="Californian FB" w:cs="Lustria"/>
          <w:bCs/>
          <w:color w:val="000000"/>
          <w:sz w:val="28"/>
          <w:szCs w:val="28"/>
        </w:rPr>
        <w:t xml:space="preserve"> employment status of graduates</w:t>
      </w:r>
      <w:r w:rsidRPr="00312BA8">
        <w:rPr>
          <w:rFonts w:ascii="Californian FB" w:eastAsia="Lustria" w:hAnsi="Californian FB" w:cs="Lustria"/>
          <w:bCs/>
          <w:color w:val="000000"/>
          <w:sz w:val="28"/>
          <w:szCs w:val="28"/>
        </w:rPr>
        <w:t xml:space="preserve"> </w:t>
      </w:r>
      <w:r w:rsidR="0090256D">
        <w:rPr>
          <w:rFonts w:ascii="Californian FB" w:eastAsia="Lustria" w:hAnsi="Californian FB" w:cs="Lustria"/>
          <w:bCs/>
          <w:color w:val="000000"/>
          <w:sz w:val="28"/>
          <w:szCs w:val="28"/>
          <w:lang w:val="en-US"/>
        </w:rPr>
        <w:t xml:space="preserve">15 months post-graduation, </w:t>
      </w:r>
      <w:r w:rsidR="0090256D" w:rsidRPr="00312BA8">
        <w:rPr>
          <w:rFonts w:ascii="Californian FB" w:eastAsia="Lustria" w:hAnsi="Californian FB" w:cs="Lustria"/>
          <w:bCs/>
          <w:color w:val="000000"/>
          <w:sz w:val="28"/>
          <w:szCs w:val="28"/>
        </w:rPr>
        <w:t>to</w:t>
      </w:r>
      <w:r w:rsidRPr="00312BA8">
        <w:rPr>
          <w:rFonts w:ascii="Californian FB" w:eastAsia="Lustria" w:hAnsi="Californian FB" w:cs="Lustria"/>
          <w:bCs/>
          <w:color w:val="000000"/>
          <w:sz w:val="28"/>
          <w:szCs w:val="28"/>
        </w:rPr>
        <w:t xml:space="preserve"> monitor </w:t>
      </w:r>
      <w:r w:rsidRPr="00312BA8">
        <w:rPr>
          <w:rFonts w:ascii="Californian FB" w:eastAsia="Lustria" w:hAnsi="Californian FB" w:cs="Lustria"/>
          <w:bCs/>
          <w:color w:val="000000"/>
          <w:sz w:val="28"/>
          <w:szCs w:val="28"/>
        </w:rPr>
        <w:lastRenderedPageBreak/>
        <w:t>and evaluate the effectiveness of educational programs in preparing students for the workforce.</w:t>
      </w:r>
      <w:r>
        <w:rPr>
          <w:rFonts w:ascii="Californian FB" w:eastAsia="Lustria" w:hAnsi="Californian FB" w:cs="Lustria"/>
          <w:bCs/>
          <w:color w:val="000000"/>
          <w:sz w:val="28"/>
          <w:szCs w:val="28"/>
        </w:rPr>
        <w:t xml:space="preserve"> </w:t>
      </w:r>
      <w:r w:rsidR="001859BD" w:rsidRPr="001859BD">
        <w:rPr>
          <w:rFonts w:ascii="Californian FB" w:eastAsia="Lustria" w:hAnsi="Californian FB" w:cs="Lustria"/>
          <w:bCs/>
          <w:color w:val="000000"/>
          <w:sz w:val="28"/>
          <w:szCs w:val="28"/>
          <w:lang w:val="en-BW"/>
        </w:rPr>
        <w:t>In 2024, the survey was awarded Accredited Official Statistics status by the Office for Statistics Regulation, confirming its reliability and compliance with UK statistical standards (Office for Statistics Regulation, 2024).</w:t>
      </w:r>
    </w:p>
    <w:p w14:paraId="4512C8FC" w14:textId="77777777" w:rsidR="001B3D58" w:rsidRPr="001B3D58" w:rsidRDefault="001B3D58" w:rsidP="001B3D58">
      <w:pPr>
        <w:pStyle w:val="ListParagraph"/>
        <w:spacing w:before="0" w:after="160" w:line="360" w:lineRule="auto"/>
        <w:rPr>
          <w:rFonts w:ascii="Californian FB" w:eastAsia="Lustria" w:hAnsi="Californian FB" w:cs="Lustria"/>
          <w:bCs/>
          <w:color w:val="000000"/>
          <w:sz w:val="28"/>
          <w:szCs w:val="28"/>
          <w:lang w:val="en-BW"/>
        </w:rPr>
      </w:pPr>
    </w:p>
    <w:p w14:paraId="6B417FEF" w14:textId="75E239F3" w:rsidR="00EE5B6F" w:rsidRPr="0090256D" w:rsidRDefault="00312BA8" w:rsidP="001B3D58">
      <w:pPr>
        <w:pStyle w:val="ListParagraph"/>
        <w:numPr>
          <w:ilvl w:val="0"/>
          <w:numId w:val="18"/>
        </w:numPr>
        <w:spacing w:after="160" w:line="360" w:lineRule="auto"/>
        <w:rPr>
          <w:rFonts w:ascii="Californian FB" w:eastAsia="Lustria" w:hAnsi="Californian FB" w:cs="Lustria"/>
          <w:bCs/>
          <w:color w:val="000000"/>
          <w:sz w:val="28"/>
          <w:szCs w:val="28"/>
          <w:lang w:val="en-US"/>
        </w:rPr>
      </w:pPr>
      <w:r w:rsidRPr="0090256D">
        <w:rPr>
          <w:rFonts w:ascii="Californian FB" w:eastAsia="Lustria" w:hAnsi="Californian FB" w:cs="Lustria"/>
          <w:b/>
          <w:bCs/>
          <w:color w:val="000000"/>
          <w:sz w:val="28"/>
          <w:szCs w:val="28"/>
          <w:lang w:val="en-US"/>
        </w:rPr>
        <w:t>Teaching Excellence Framework (TEF</w:t>
      </w:r>
      <w:proofErr w:type="gramStart"/>
      <w:r w:rsidRPr="0090256D">
        <w:rPr>
          <w:rFonts w:ascii="Californian FB" w:eastAsia="Lustria" w:hAnsi="Californian FB" w:cs="Lustria"/>
          <w:b/>
          <w:bCs/>
          <w:color w:val="000000"/>
          <w:sz w:val="28"/>
          <w:szCs w:val="28"/>
          <w:lang w:val="en-US"/>
        </w:rPr>
        <w:t>)</w:t>
      </w:r>
      <w:r w:rsidR="001E7D27" w:rsidRPr="0090256D">
        <w:rPr>
          <w:rFonts w:ascii="Californian FB" w:eastAsia="Lustria" w:hAnsi="Californian FB" w:cs="Lustria"/>
          <w:b/>
          <w:bCs/>
          <w:color w:val="000000"/>
          <w:sz w:val="28"/>
          <w:szCs w:val="28"/>
          <w:lang w:val="en-US"/>
        </w:rPr>
        <w:t>-</w:t>
      </w:r>
      <w:proofErr w:type="gramEnd"/>
      <w:r w:rsidRPr="0090256D">
        <w:rPr>
          <w:rFonts w:ascii="Californian FB" w:eastAsia="Lustria" w:hAnsi="Californian FB" w:cs="Lustria"/>
          <w:bCs/>
          <w:color w:val="000000"/>
          <w:sz w:val="28"/>
          <w:szCs w:val="28"/>
          <w:lang w:val="en-US"/>
        </w:rPr>
        <w:t xml:space="preserve"> </w:t>
      </w:r>
      <w:r w:rsidR="0090256D">
        <w:rPr>
          <w:rFonts w:ascii="Californian FB" w:eastAsia="Lustria" w:hAnsi="Californian FB" w:cs="Lustria"/>
          <w:bCs/>
          <w:color w:val="000000"/>
          <w:sz w:val="28"/>
          <w:szCs w:val="28"/>
          <w:lang w:val="en-US"/>
        </w:rPr>
        <w:t xml:space="preserve">this framework </w:t>
      </w:r>
      <w:r w:rsidR="0090256D">
        <w:rPr>
          <w:rFonts w:ascii="Californian FB" w:eastAsia="Lustria" w:hAnsi="Californian FB" w:cs="Lustria"/>
          <w:bCs/>
          <w:color w:val="000000"/>
          <w:sz w:val="28"/>
          <w:szCs w:val="28"/>
        </w:rPr>
        <w:t>e</w:t>
      </w:r>
      <w:r w:rsidR="0090256D" w:rsidRPr="0090256D">
        <w:rPr>
          <w:rFonts w:ascii="Californian FB" w:eastAsia="Lustria" w:hAnsi="Californian FB" w:cs="Lustria"/>
          <w:bCs/>
          <w:color w:val="000000"/>
          <w:sz w:val="28"/>
          <w:szCs w:val="28"/>
        </w:rPr>
        <w:t>valuates the quality of teaching and its impact on student outcomes, including employability.</w:t>
      </w:r>
      <w:r w:rsidR="00B05768">
        <w:rPr>
          <w:rFonts w:ascii="Californian FB" w:eastAsia="Lustria" w:hAnsi="Californian FB" w:cs="Lustria"/>
          <w:bCs/>
          <w:color w:val="000000"/>
          <w:sz w:val="28"/>
          <w:szCs w:val="28"/>
        </w:rPr>
        <w:t xml:space="preserve"> </w:t>
      </w:r>
      <w:r w:rsidR="00B05768" w:rsidRPr="00B05768">
        <w:rPr>
          <w:rFonts w:ascii="Californian FB" w:eastAsia="Lustria" w:hAnsi="Californian FB" w:cs="Lustria"/>
          <w:bCs/>
          <w:color w:val="000000"/>
          <w:sz w:val="28"/>
          <w:szCs w:val="28"/>
        </w:rPr>
        <w:t xml:space="preserve">One of the central policy tools operationalised by the </w:t>
      </w:r>
      <w:proofErr w:type="spellStart"/>
      <w:r w:rsidR="00B05768" w:rsidRPr="00B05768">
        <w:rPr>
          <w:rFonts w:ascii="Californian FB" w:eastAsia="Lustria" w:hAnsi="Californian FB" w:cs="Lustria"/>
          <w:bCs/>
          <w:color w:val="000000"/>
          <w:sz w:val="28"/>
          <w:szCs w:val="28"/>
        </w:rPr>
        <w:t>OfS</w:t>
      </w:r>
      <w:proofErr w:type="spellEnd"/>
      <w:r w:rsidR="00B05768" w:rsidRPr="00B05768">
        <w:rPr>
          <w:rFonts w:ascii="Californian FB" w:eastAsia="Lustria" w:hAnsi="Californian FB" w:cs="Lustria"/>
          <w:bCs/>
          <w:color w:val="000000"/>
          <w:sz w:val="28"/>
          <w:szCs w:val="28"/>
        </w:rPr>
        <w:t xml:space="preserve"> is the Teaching Excellence Framework (TEF), which was introduced in 2017. TEF assesses universities on the quality of teaching, learning environment, and student outcomes, including employability. Graduate employment and earnings data from both the GOS and LEO are integral to these assessments, and institutions are publicly rated as Gold, Silver, or Bronze (Office for Students, 2023).</w:t>
      </w:r>
      <w:r w:rsidR="0090256D" w:rsidRPr="0090256D">
        <w:rPr>
          <w:rFonts w:ascii="Californian FB" w:eastAsia="Lustria" w:hAnsi="Californian FB" w:cs="Lustria"/>
          <w:bCs/>
          <w:color w:val="000000"/>
          <w:sz w:val="28"/>
          <w:szCs w:val="28"/>
        </w:rPr>
        <w:br/>
      </w:r>
    </w:p>
    <w:p w14:paraId="7F89A817" w14:textId="0F0F00EA" w:rsidR="00312BA8" w:rsidRPr="00B05768" w:rsidRDefault="00EE5B6F" w:rsidP="001B3D58">
      <w:pPr>
        <w:pStyle w:val="ListParagraph"/>
        <w:numPr>
          <w:ilvl w:val="0"/>
          <w:numId w:val="18"/>
        </w:numPr>
        <w:spacing w:after="160" w:line="360" w:lineRule="auto"/>
        <w:rPr>
          <w:rFonts w:ascii="Californian FB" w:eastAsia="Lustria" w:hAnsi="Californian FB" w:cs="Lustria"/>
          <w:bCs/>
          <w:color w:val="000000"/>
          <w:sz w:val="28"/>
          <w:szCs w:val="28"/>
          <w:lang w:val="en-BW"/>
        </w:rPr>
      </w:pPr>
      <w:r w:rsidRPr="0090256D">
        <w:rPr>
          <w:rFonts w:ascii="Californian FB" w:eastAsia="Lustria" w:hAnsi="Californian FB" w:cs="Lustria"/>
          <w:b/>
          <w:bCs/>
          <w:color w:val="000000"/>
          <w:sz w:val="28"/>
          <w:szCs w:val="28"/>
          <w:lang w:val="en-US"/>
        </w:rPr>
        <w:t>Office for Students (</w:t>
      </w:r>
      <w:proofErr w:type="spellStart"/>
      <w:r w:rsidRPr="0090256D">
        <w:rPr>
          <w:rFonts w:ascii="Californian FB" w:eastAsia="Lustria" w:hAnsi="Californian FB" w:cs="Lustria"/>
          <w:b/>
          <w:bCs/>
          <w:color w:val="000000"/>
          <w:sz w:val="28"/>
          <w:szCs w:val="28"/>
          <w:lang w:val="en-US"/>
        </w:rPr>
        <w:t>OfS</w:t>
      </w:r>
      <w:proofErr w:type="spellEnd"/>
      <w:r w:rsidRPr="0090256D">
        <w:rPr>
          <w:rFonts w:ascii="Californian FB" w:eastAsia="Lustria" w:hAnsi="Californian FB" w:cs="Lustria"/>
          <w:bCs/>
          <w:color w:val="000000"/>
          <w:sz w:val="28"/>
          <w:szCs w:val="28"/>
          <w:lang w:val="en-US"/>
        </w:rPr>
        <w:t xml:space="preserve">) </w:t>
      </w:r>
      <w:r w:rsidR="0090256D">
        <w:rPr>
          <w:rFonts w:ascii="Californian FB" w:eastAsia="Lustria" w:hAnsi="Californian FB" w:cs="Lustria"/>
          <w:bCs/>
          <w:color w:val="000000"/>
          <w:sz w:val="28"/>
          <w:szCs w:val="28"/>
          <w:lang w:val="en-US"/>
        </w:rPr>
        <w:t xml:space="preserve">this legislative framework </w:t>
      </w:r>
      <w:r w:rsidR="0090256D">
        <w:rPr>
          <w:rFonts w:ascii="Californian FB" w:eastAsia="Lustria" w:hAnsi="Californian FB" w:cs="Lustria"/>
          <w:bCs/>
          <w:color w:val="000000"/>
          <w:sz w:val="28"/>
          <w:szCs w:val="28"/>
        </w:rPr>
        <w:t>a</w:t>
      </w:r>
      <w:r w:rsidR="0090256D" w:rsidRPr="0090256D">
        <w:rPr>
          <w:rFonts w:ascii="Californian FB" w:eastAsia="Lustria" w:hAnsi="Californian FB" w:cs="Lustria"/>
          <w:bCs/>
          <w:color w:val="000000"/>
          <w:sz w:val="28"/>
          <w:szCs w:val="28"/>
        </w:rPr>
        <w:t>cts as a key regulator in higher education, with employability considered a top priority in measuring the value of education.</w:t>
      </w:r>
      <w:r w:rsidR="00B05768">
        <w:rPr>
          <w:rFonts w:ascii="Californian FB" w:eastAsia="Lustria" w:hAnsi="Californian FB" w:cs="Lustria"/>
          <w:bCs/>
          <w:color w:val="000000"/>
          <w:sz w:val="28"/>
          <w:szCs w:val="28"/>
        </w:rPr>
        <w:t xml:space="preserve"> </w:t>
      </w:r>
      <w:r w:rsidR="00B05768" w:rsidRPr="00B05768">
        <w:rPr>
          <w:rFonts w:ascii="Californian FB" w:eastAsia="Lustria" w:hAnsi="Californian FB" w:cs="Lustria"/>
          <w:bCs/>
          <w:color w:val="000000"/>
          <w:sz w:val="28"/>
          <w:szCs w:val="28"/>
          <w:lang w:val="en-BW"/>
        </w:rPr>
        <w:t>The legislative foundation for England’s higher education space is the 2017 Higher Education and Research Act. This Act formally designated HESA as the data body for higher education and created the Office for Students (OfS), an independent regulator tasked with ensuring that universities deliver value to students, including positive employment outcomes (UK Parliament, 2017).</w:t>
      </w:r>
    </w:p>
    <w:p w14:paraId="35AF6970" w14:textId="77777777" w:rsidR="0090256D" w:rsidRPr="0090256D" w:rsidRDefault="0090256D" w:rsidP="001B3D58">
      <w:pPr>
        <w:pStyle w:val="ListParagraph"/>
        <w:spacing w:after="160" w:line="360" w:lineRule="auto"/>
        <w:rPr>
          <w:rFonts w:ascii="Californian FB" w:eastAsia="Lustria" w:hAnsi="Californian FB" w:cs="Lustria"/>
          <w:bCs/>
          <w:color w:val="000000"/>
          <w:sz w:val="28"/>
          <w:szCs w:val="28"/>
          <w:lang w:val="en-US"/>
        </w:rPr>
      </w:pPr>
    </w:p>
    <w:p w14:paraId="175D04B6" w14:textId="77777777" w:rsidR="00B05768" w:rsidRPr="00B05768" w:rsidRDefault="00312BA8" w:rsidP="001B3D58">
      <w:pPr>
        <w:pStyle w:val="ListParagraph"/>
        <w:numPr>
          <w:ilvl w:val="0"/>
          <w:numId w:val="18"/>
        </w:numPr>
        <w:spacing w:before="0" w:after="160" w:line="360" w:lineRule="auto"/>
        <w:rPr>
          <w:rFonts w:ascii="Californian FB" w:eastAsia="Lustria" w:hAnsi="Californian FB" w:cs="Lustria"/>
          <w:bCs/>
          <w:color w:val="000000"/>
          <w:sz w:val="28"/>
          <w:szCs w:val="28"/>
          <w:lang w:val="en-BW"/>
        </w:rPr>
      </w:pPr>
      <w:r w:rsidRPr="0090256D">
        <w:rPr>
          <w:rFonts w:ascii="Californian FB" w:eastAsia="Lustria" w:hAnsi="Californian FB" w:cs="Lustria"/>
          <w:b/>
          <w:bCs/>
          <w:color w:val="000000"/>
          <w:sz w:val="28"/>
          <w:szCs w:val="28"/>
        </w:rPr>
        <w:t>Longitudinal Education Outcomes (LEO)</w:t>
      </w:r>
      <w:r w:rsidR="001E7D27" w:rsidRPr="0090256D">
        <w:rPr>
          <w:rFonts w:ascii="Californian FB" w:eastAsia="Lustria" w:hAnsi="Californian FB" w:cs="Lustria"/>
          <w:b/>
          <w:bCs/>
          <w:color w:val="000000"/>
          <w:sz w:val="28"/>
          <w:szCs w:val="28"/>
        </w:rPr>
        <w:t xml:space="preserve"> database</w:t>
      </w:r>
      <w:r w:rsidRPr="0090256D">
        <w:rPr>
          <w:rFonts w:ascii="Californian FB" w:eastAsia="Lustria" w:hAnsi="Californian FB" w:cs="Lustria"/>
          <w:b/>
          <w:bCs/>
          <w:color w:val="000000"/>
          <w:sz w:val="28"/>
          <w:szCs w:val="28"/>
        </w:rPr>
        <w:t xml:space="preserve"> </w:t>
      </w:r>
      <w:r w:rsidR="001E7D27" w:rsidRPr="0090256D">
        <w:rPr>
          <w:rFonts w:ascii="Californian FB" w:eastAsia="Lustria" w:hAnsi="Californian FB" w:cs="Lustria"/>
          <w:b/>
          <w:bCs/>
          <w:color w:val="000000"/>
          <w:sz w:val="28"/>
          <w:szCs w:val="28"/>
        </w:rPr>
        <w:t>–</w:t>
      </w:r>
      <w:r w:rsidR="001E7D27" w:rsidRPr="0090256D">
        <w:rPr>
          <w:rFonts w:ascii="inter" w:eastAsia="inter" w:hAnsi="inter" w:cs="inter"/>
          <w:color w:val="000000"/>
          <w:sz w:val="21"/>
          <w:szCs w:val="22"/>
          <w:lang w:val="en-US" w:eastAsia="en-US"/>
        </w:rPr>
        <w:t xml:space="preserve"> </w:t>
      </w:r>
      <w:r w:rsidR="0090256D" w:rsidRPr="0090256D">
        <w:rPr>
          <w:rFonts w:ascii="Californian FB" w:eastAsia="Lustria" w:hAnsi="Californian FB" w:cs="Lustria"/>
          <w:bCs/>
          <w:color w:val="000000"/>
          <w:sz w:val="28"/>
          <w:szCs w:val="28"/>
        </w:rPr>
        <w:t>Tracks graduates’ earnings and employment over time using tax and education records.</w:t>
      </w:r>
      <w:r w:rsidR="00B05768">
        <w:rPr>
          <w:rFonts w:ascii="Californian FB" w:eastAsia="Lustria" w:hAnsi="Californian FB" w:cs="Lustria"/>
          <w:bCs/>
          <w:color w:val="000000"/>
          <w:sz w:val="28"/>
          <w:szCs w:val="28"/>
        </w:rPr>
        <w:t xml:space="preserve"> </w:t>
      </w:r>
      <w:r w:rsidR="00B05768" w:rsidRPr="00B05768">
        <w:rPr>
          <w:rFonts w:ascii="Californian FB" w:eastAsia="Lustria" w:hAnsi="Californian FB" w:cs="Lustria"/>
          <w:bCs/>
          <w:color w:val="000000"/>
          <w:sz w:val="28"/>
          <w:szCs w:val="28"/>
          <w:lang w:val="en-BW"/>
        </w:rPr>
        <w:t xml:space="preserve">Introduced by the Department for Education (DfE) in 2016. LEO links </w:t>
      </w:r>
      <w:r w:rsidR="00B05768" w:rsidRPr="00B05768">
        <w:rPr>
          <w:rFonts w:ascii="Californian FB" w:eastAsia="Lustria" w:hAnsi="Californian FB" w:cs="Lustria"/>
          <w:bCs/>
          <w:color w:val="000000"/>
          <w:sz w:val="28"/>
          <w:szCs w:val="28"/>
          <w:lang w:val="en-BW"/>
        </w:rPr>
        <w:lastRenderedPageBreak/>
        <w:t>educational records to tax and employment data from HM Revenue &amp; Customs (HMRC) and the Department for Work and Pensions (DWP) to track graduates’ employment and earnings over one, three, five, and ten years after graduation (Department for Education, 2023a). LEO enables detailed analysis across demographic, institutional, and programmatic variables and supports longitudinal research. For instance, a 2022 study by the Skills and Productivity Board used LEO to examine how geographic mobility affects graduate earnings (Department for Education, 2022).</w:t>
      </w:r>
    </w:p>
    <w:p w14:paraId="61798CA0" w14:textId="7CB540F6" w:rsidR="00EE5B6F" w:rsidRPr="0090256D" w:rsidRDefault="00EE5B6F" w:rsidP="001B3D58">
      <w:pPr>
        <w:pStyle w:val="ListParagraph"/>
        <w:spacing w:before="0" w:after="160" w:line="360" w:lineRule="auto"/>
        <w:rPr>
          <w:rFonts w:ascii="Californian FB" w:eastAsia="Lustria" w:hAnsi="Californian FB" w:cs="Lustria"/>
          <w:bCs/>
          <w:color w:val="000000"/>
          <w:sz w:val="28"/>
          <w:szCs w:val="28"/>
        </w:rPr>
      </w:pPr>
    </w:p>
    <w:p w14:paraId="6BB771AE" w14:textId="77777777" w:rsidR="0090256D" w:rsidRDefault="00EE5B6F" w:rsidP="001B3D58">
      <w:pPr>
        <w:pStyle w:val="ListParagraph"/>
        <w:numPr>
          <w:ilvl w:val="0"/>
          <w:numId w:val="18"/>
        </w:numPr>
        <w:spacing w:before="0" w:after="160" w:line="360" w:lineRule="auto"/>
        <w:rPr>
          <w:rFonts w:ascii="Californian FB" w:eastAsia="Lustria" w:hAnsi="Californian FB" w:cs="Lustria"/>
          <w:bCs/>
          <w:color w:val="000000"/>
          <w:sz w:val="28"/>
          <w:szCs w:val="28"/>
          <w:lang w:val="en-US"/>
        </w:rPr>
      </w:pPr>
      <w:r w:rsidRPr="0090256D">
        <w:rPr>
          <w:rFonts w:ascii="Californian FB" w:eastAsia="Lustria" w:hAnsi="Californian FB" w:cs="Lustria"/>
          <w:b/>
          <w:bCs/>
          <w:color w:val="000000"/>
          <w:sz w:val="28"/>
          <w:szCs w:val="28"/>
        </w:rPr>
        <w:t>Lifelong Learning and Skills Act (2023</w:t>
      </w:r>
      <w:proofErr w:type="gramStart"/>
      <w:r w:rsidRPr="0090256D">
        <w:rPr>
          <w:rFonts w:ascii="Californian FB" w:eastAsia="Lustria" w:hAnsi="Californian FB" w:cs="Lustria"/>
          <w:b/>
          <w:bCs/>
          <w:color w:val="000000"/>
          <w:sz w:val="28"/>
          <w:szCs w:val="28"/>
        </w:rPr>
        <w:t>)-</w:t>
      </w:r>
      <w:proofErr w:type="gramEnd"/>
      <w:r w:rsidRPr="0090256D">
        <w:rPr>
          <w:rFonts w:ascii="Californian FB" w:eastAsia="Lustria" w:hAnsi="Californian FB" w:cs="Lustria"/>
          <w:bCs/>
          <w:color w:val="000000"/>
          <w:sz w:val="28"/>
          <w:szCs w:val="28"/>
        </w:rPr>
        <w:t xml:space="preserve"> </w:t>
      </w:r>
      <w:r w:rsidR="0090256D" w:rsidRPr="0090256D">
        <w:rPr>
          <w:rFonts w:ascii="Californian FB" w:eastAsia="Lustria" w:hAnsi="Californian FB" w:cs="Lustria"/>
          <w:bCs/>
          <w:color w:val="000000"/>
          <w:sz w:val="28"/>
          <w:szCs w:val="28"/>
          <w:lang w:val="en-US"/>
        </w:rPr>
        <w:t>Emphasizes continuous education and upskilling throughout a person’s career.</w:t>
      </w:r>
    </w:p>
    <w:p w14:paraId="74F5EE1B" w14:textId="77777777" w:rsidR="0090256D" w:rsidRPr="001B3D58" w:rsidRDefault="0090256D" w:rsidP="001B3D58">
      <w:pPr>
        <w:spacing w:before="0" w:after="160" w:line="360" w:lineRule="auto"/>
        <w:rPr>
          <w:rFonts w:ascii="Californian FB" w:eastAsia="Lustria" w:hAnsi="Californian FB" w:cs="Lustria"/>
          <w:bCs/>
          <w:color w:val="000000"/>
          <w:sz w:val="28"/>
          <w:szCs w:val="28"/>
          <w:lang w:val="en-US"/>
        </w:rPr>
      </w:pPr>
    </w:p>
    <w:p w14:paraId="55491D86" w14:textId="77777777" w:rsidR="001B3D58" w:rsidRDefault="00BC4478" w:rsidP="001B3D58">
      <w:pPr>
        <w:spacing w:before="0" w:after="160" w:line="360" w:lineRule="auto"/>
        <w:ind w:left="360"/>
        <w:rPr>
          <w:rFonts w:ascii="Californian FB" w:eastAsia="Lustria" w:hAnsi="Californian FB" w:cs="Lustria"/>
          <w:bCs/>
          <w:color w:val="000000"/>
          <w:sz w:val="28"/>
          <w:szCs w:val="28"/>
        </w:rPr>
      </w:pPr>
      <w:r w:rsidRPr="00BC4478">
        <w:rPr>
          <w:rFonts w:ascii="Californian FB" w:eastAsia="Lustria" w:hAnsi="Californian FB" w:cs="Lustria"/>
          <w:bCs/>
          <w:color w:val="000000"/>
          <w:sz w:val="28"/>
          <w:szCs w:val="28"/>
        </w:rPr>
        <w:t>Graduate employability is influenced not only by national policies but also by a range of broader factors.</w:t>
      </w:r>
      <w:r>
        <w:rPr>
          <w:rFonts w:ascii="Californian FB" w:eastAsia="Lustria" w:hAnsi="Californian FB" w:cs="Lustria"/>
          <w:bCs/>
          <w:color w:val="000000"/>
          <w:sz w:val="28"/>
          <w:szCs w:val="28"/>
        </w:rPr>
        <w:t xml:space="preserve"> </w:t>
      </w:r>
      <w:r w:rsidR="00B05768" w:rsidRPr="00B05768">
        <w:rPr>
          <w:rFonts w:ascii="Californian FB" w:eastAsia="Lustria" w:hAnsi="Californian FB" w:cs="Lustria"/>
          <w:bCs/>
          <w:color w:val="000000"/>
          <w:sz w:val="28"/>
          <w:szCs w:val="28"/>
          <w:lang w:val="en-BW"/>
        </w:rPr>
        <w:t xml:space="preserve">England’s graduate tracking efforts are supported by a range of non-policy </w:t>
      </w:r>
      <w:r w:rsidR="00745C54">
        <w:rPr>
          <w:rFonts w:ascii="Californian FB" w:eastAsia="Lustria" w:hAnsi="Californian FB" w:cs="Lustria"/>
          <w:bCs/>
          <w:color w:val="000000"/>
          <w:sz w:val="28"/>
          <w:szCs w:val="28"/>
        </w:rPr>
        <w:t xml:space="preserve">initiatives such as; </w:t>
      </w:r>
      <w:r w:rsidR="00B05768" w:rsidRPr="00B05768">
        <w:rPr>
          <w:rFonts w:ascii="Californian FB" w:eastAsia="Lustria" w:hAnsi="Californian FB" w:cs="Lustria"/>
          <w:bCs/>
          <w:color w:val="000000"/>
          <w:sz w:val="28"/>
          <w:szCs w:val="28"/>
          <w:lang w:val="en-BW"/>
        </w:rPr>
        <w:t xml:space="preserve"> </w:t>
      </w:r>
    </w:p>
    <w:p w14:paraId="51389C66" w14:textId="70FE86E0" w:rsidR="00745C54" w:rsidRPr="001B3D58" w:rsidRDefault="00745C54" w:rsidP="001B3D58">
      <w:pPr>
        <w:pStyle w:val="ListParagraph"/>
        <w:numPr>
          <w:ilvl w:val="0"/>
          <w:numId w:val="39"/>
        </w:numPr>
        <w:spacing w:before="0" w:after="160" w:line="360" w:lineRule="auto"/>
        <w:rPr>
          <w:rFonts w:ascii="Californian FB" w:eastAsia="Lustria" w:hAnsi="Californian FB" w:cs="Lustria"/>
          <w:bCs/>
          <w:color w:val="000000"/>
          <w:sz w:val="28"/>
          <w:szCs w:val="28"/>
        </w:rPr>
      </w:pPr>
      <w:r w:rsidRPr="001B3D58">
        <w:rPr>
          <w:rFonts w:ascii="Californian FB" w:eastAsia="Lustria" w:hAnsi="Californian FB" w:cs="Lustria"/>
          <w:b/>
          <w:bCs/>
          <w:color w:val="000000"/>
          <w:sz w:val="28"/>
          <w:szCs w:val="28"/>
        </w:rPr>
        <w:t>University Accreditation</w:t>
      </w:r>
      <w:r w:rsidRPr="001B3D58">
        <w:rPr>
          <w:rFonts w:ascii="Californian FB" w:eastAsia="Lustria" w:hAnsi="Californian FB" w:cs="Lustria"/>
          <w:bCs/>
          <w:color w:val="000000"/>
          <w:sz w:val="28"/>
          <w:szCs w:val="28"/>
        </w:rPr>
        <w:t>-Accreditation significantly improves employability by making graduates more attractive to employers who value quality assurance and industry relevance. All over the world accreditation assures students and employers that a university or programme meets rigorous quality assurance standards. Therefore, Universities in England make use of different accreditation bodies such as National Accreditation overseen by the Office for Students (</w:t>
      </w:r>
      <w:proofErr w:type="spellStart"/>
      <w:r w:rsidRPr="001B3D58">
        <w:rPr>
          <w:rFonts w:ascii="Californian FB" w:eastAsia="Lustria" w:hAnsi="Californian FB" w:cs="Lustria"/>
          <w:bCs/>
          <w:color w:val="000000"/>
          <w:sz w:val="28"/>
          <w:szCs w:val="28"/>
        </w:rPr>
        <w:t>OfS</w:t>
      </w:r>
      <w:proofErr w:type="spellEnd"/>
      <w:r w:rsidRPr="001B3D58">
        <w:rPr>
          <w:rFonts w:ascii="Californian FB" w:eastAsia="Lustria" w:hAnsi="Californian FB" w:cs="Lustria"/>
          <w:bCs/>
          <w:color w:val="000000"/>
          <w:sz w:val="28"/>
          <w:szCs w:val="28"/>
        </w:rPr>
        <w:t xml:space="preserve">), Professional Accreditations like the Royal Institution of Chartered Surveyors (RICS) for specific fields and International Accreditation (e.g., International Education Accreditation Council) </w:t>
      </w:r>
    </w:p>
    <w:p w14:paraId="18D7F8EC" w14:textId="77777777" w:rsidR="00745C54" w:rsidRDefault="00745C54" w:rsidP="001B3D58">
      <w:pPr>
        <w:pStyle w:val="ListParagraph"/>
        <w:spacing w:before="0" w:after="160" w:line="360" w:lineRule="auto"/>
        <w:ind w:left="1080"/>
        <w:rPr>
          <w:rFonts w:ascii="Californian FB" w:eastAsia="Lustria" w:hAnsi="Californian FB" w:cs="Lustria"/>
          <w:bCs/>
          <w:color w:val="000000"/>
          <w:sz w:val="28"/>
          <w:szCs w:val="28"/>
        </w:rPr>
      </w:pPr>
    </w:p>
    <w:p w14:paraId="0FB0D283" w14:textId="77777777" w:rsidR="00745C54" w:rsidRDefault="00745C54" w:rsidP="001B3D58">
      <w:pPr>
        <w:pStyle w:val="ListParagraph"/>
        <w:numPr>
          <w:ilvl w:val="0"/>
          <w:numId w:val="39"/>
        </w:numPr>
        <w:spacing w:before="0" w:after="160" w:line="360" w:lineRule="auto"/>
        <w:rPr>
          <w:rFonts w:ascii="Californian FB" w:eastAsia="Lustria" w:hAnsi="Californian FB" w:cs="Lustria"/>
          <w:bCs/>
          <w:color w:val="000000"/>
          <w:sz w:val="28"/>
          <w:szCs w:val="28"/>
        </w:rPr>
      </w:pPr>
      <w:r w:rsidRPr="00745C54">
        <w:rPr>
          <w:rFonts w:ascii="Californian FB" w:eastAsia="Lustria" w:hAnsi="Californian FB" w:cs="Lustria"/>
          <w:b/>
          <w:bCs/>
          <w:color w:val="000000"/>
          <w:sz w:val="28"/>
          <w:szCs w:val="28"/>
        </w:rPr>
        <w:lastRenderedPageBreak/>
        <w:t>University Rankings</w:t>
      </w:r>
      <w:r w:rsidRPr="00745C54">
        <w:rPr>
          <w:rFonts w:ascii="Californian FB" w:eastAsia="Lustria" w:hAnsi="Californian FB" w:cs="Lustria"/>
          <w:bCs/>
          <w:color w:val="000000"/>
          <w:sz w:val="28"/>
          <w:szCs w:val="28"/>
        </w:rPr>
        <w:t xml:space="preserve">- in England ranking matters and a high-ranking institution often translates into greater opportunities for graduates. The rankings guide student decisions by highlighting which institutions offer strong links to employers and practical teaching approaches. Factors affecting these rankings include employer engagement, alumni success, global exposure, and industry linked </w:t>
      </w:r>
      <w:proofErr w:type="gramStart"/>
      <w:r w:rsidRPr="00745C54">
        <w:rPr>
          <w:rFonts w:ascii="Californian FB" w:eastAsia="Lustria" w:hAnsi="Californian FB" w:cs="Lustria"/>
          <w:bCs/>
          <w:color w:val="000000"/>
          <w:sz w:val="28"/>
          <w:szCs w:val="28"/>
        </w:rPr>
        <w:t>programmes</w:t>
      </w:r>
      <w:proofErr w:type="gramEnd"/>
      <w:r w:rsidRPr="00745C54">
        <w:rPr>
          <w:rFonts w:ascii="Californian FB" w:eastAsia="Lustria" w:hAnsi="Californian FB" w:cs="Lustria"/>
          <w:bCs/>
          <w:color w:val="000000"/>
          <w:sz w:val="28"/>
          <w:szCs w:val="28"/>
        </w:rPr>
        <w:t xml:space="preserve">. </w:t>
      </w:r>
    </w:p>
    <w:p w14:paraId="4CD26647" w14:textId="77777777" w:rsidR="00745C54" w:rsidRPr="00745C54" w:rsidRDefault="00745C54" w:rsidP="001B3D58">
      <w:pPr>
        <w:pStyle w:val="ListParagraph"/>
        <w:spacing w:line="360" w:lineRule="auto"/>
        <w:rPr>
          <w:rFonts w:ascii="Californian FB" w:eastAsia="Lustria" w:hAnsi="Californian FB" w:cs="Lustria"/>
          <w:b/>
          <w:bCs/>
          <w:color w:val="000000"/>
          <w:sz w:val="28"/>
          <w:szCs w:val="28"/>
        </w:rPr>
      </w:pPr>
    </w:p>
    <w:p w14:paraId="2B98F20B" w14:textId="77777777" w:rsidR="00745C54" w:rsidRPr="00745C54" w:rsidRDefault="00745C54" w:rsidP="001B3D58">
      <w:pPr>
        <w:pStyle w:val="ListParagraph"/>
        <w:numPr>
          <w:ilvl w:val="0"/>
          <w:numId w:val="39"/>
        </w:numPr>
        <w:spacing w:before="0" w:after="160" w:line="360" w:lineRule="auto"/>
        <w:rPr>
          <w:rFonts w:ascii="Californian FB" w:eastAsia="Lustria" w:hAnsi="Californian FB" w:cs="Lustria"/>
          <w:b/>
          <w:bCs/>
          <w:color w:val="000000"/>
          <w:sz w:val="28"/>
          <w:szCs w:val="28"/>
        </w:rPr>
      </w:pPr>
      <w:r w:rsidRPr="00745C54">
        <w:rPr>
          <w:rFonts w:ascii="Californian FB" w:eastAsia="Lustria" w:hAnsi="Californian FB" w:cs="Lustria"/>
          <w:b/>
          <w:bCs/>
          <w:color w:val="000000"/>
          <w:sz w:val="28"/>
          <w:szCs w:val="28"/>
        </w:rPr>
        <w:t>Career Services-</w:t>
      </w:r>
      <w:r w:rsidRPr="00745C54">
        <w:rPr>
          <w:rFonts w:ascii="Californian FB" w:eastAsia="Lustria" w:hAnsi="Californian FB" w:cs="Lustria"/>
          <w:bCs/>
          <w:color w:val="000000"/>
          <w:sz w:val="28"/>
          <w:szCs w:val="28"/>
        </w:rPr>
        <w:t xml:space="preserve"> Top universities invest heavily in career development services, such as students receive ongoing guidance on CV writing, job applications, and interview techniques, ensuring they are prepared to present themselves confidently to employers. These services are available from the first year and include personalized career counselling, workshops and career skills sessions, major car</w:t>
      </w:r>
      <w:r>
        <w:rPr>
          <w:rFonts w:ascii="Californian FB" w:eastAsia="Lustria" w:hAnsi="Californian FB" w:cs="Lustria"/>
          <w:bCs/>
          <w:color w:val="000000"/>
          <w:sz w:val="28"/>
          <w:szCs w:val="28"/>
        </w:rPr>
        <w:t>eer fairs and networking events.</w:t>
      </w:r>
    </w:p>
    <w:p w14:paraId="49DFEA5B" w14:textId="77777777" w:rsidR="00745C54" w:rsidRPr="00745C54" w:rsidRDefault="00745C54" w:rsidP="001B3D58">
      <w:pPr>
        <w:pStyle w:val="ListParagraph"/>
        <w:spacing w:line="360" w:lineRule="auto"/>
        <w:rPr>
          <w:rFonts w:ascii="Californian FB" w:eastAsia="Lustria" w:hAnsi="Californian FB" w:cs="Lustria"/>
          <w:b/>
          <w:bCs/>
          <w:color w:val="000000"/>
          <w:sz w:val="28"/>
          <w:szCs w:val="28"/>
        </w:rPr>
      </w:pPr>
    </w:p>
    <w:p w14:paraId="6DAE9976" w14:textId="77777777" w:rsidR="001B3D58" w:rsidRPr="001B3D58" w:rsidRDefault="00745C54" w:rsidP="001B3D58">
      <w:pPr>
        <w:pStyle w:val="ListParagraph"/>
        <w:numPr>
          <w:ilvl w:val="0"/>
          <w:numId w:val="39"/>
        </w:numPr>
        <w:spacing w:before="0" w:after="160" w:line="360" w:lineRule="auto"/>
        <w:rPr>
          <w:rFonts w:ascii="Californian FB" w:eastAsia="Lustria" w:hAnsi="Californian FB" w:cs="Lustria"/>
          <w:b/>
          <w:bCs/>
          <w:color w:val="000000"/>
          <w:sz w:val="28"/>
          <w:szCs w:val="28"/>
        </w:rPr>
      </w:pPr>
      <w:r w:rsidRPr="00745C54">
        <w:rPr>
          <w:rFonts w:ascii="Californian FB" w:eastAsia="Lustria" w:hAnsi="Californian FB" w:cs="Lustria"/>
          <w:b/>
          <w:bCs/>
          <w:color w:val="000000"/>
          <w:sz w:val="28"/>
          <w:szCs w:val="28"/>
        </w:rPr>
        <w:t>Internships /Work Placement-</w:t>
      </w:r>
      <w:r w:rsidRPr="00745C54">
        <w:rPr>
          <w:rFonts w:ascii="Californian FB" w:eastAsia="Lustria" w:hAnsi="Californian FB" w:cs="Lustria"/>
          <w:bCs/>
          <w:color w:val="000000"/>
          <w:sz w:val="28"/>
          <w:szCs w:val="28"/>
        </w:rPr>
        <w:t xml:space="preserve"> In most Universities, work placements are not optional but a core component of various programmes of study. The Universities collaborate with industries to offer internships, community projects, and industry visits. Through skills acquisition sessions, students are introduced to real-world</w:t>
      </w:r>
      <w:r w:rsidR="001B3D58">
        <w:rPr>
          <w:rFonts w:ascii="Californian FB" w:eastAsia="Lustria" w:hAnsi="Californian FB" w:cs="Lustria"/>
          <w:bCs/>
          <w:color w:val="000000"/>
          <w:sz w:val="28"/>
          <w:szCs w:val="28"/>
        </w:rPr>
        <w:t xml:space="preserve"> challenges, workplace culture </w:t>
      </w:r>
      <w:r w:rsidRPr="00745C54">
        <w:rPr>
          <w:rFonts w:ascii="Californian FB" w:eastAsia="Lustria" w:hAnsi="Californian FB" w:cs="Lustria"/>
          <w:bCs/>
          <w:color w:val="000000"/>
          <w:sz w:val="28"/>
          <w:szCs w:val="28"/>
        </w:rPr>
        <w:t xml:space="preserve">and expectations. These experiences help students build confidence, adaptability and a professional network before graduation. </w:t>
      </w:r>
    </w:p>
    <w:p w14:paraId="2F907468" w14:textId="77777777" w:rsidR="001B3D58" w:rsidRPr="001B3D58" w:rsidRDefault="001B3D58" w:rsidP="001B3D58">
      <w:pPr>
        <w:pStyle w:val="ListParagraph"/>
        <w:spacing w:line="360" w:lineRule="auto"/>
        <w:rPr>
          <w:rFonts w:ascii="Californian FB" w:eastAsia="Lustria" w:hAnsi="Californian FB" w:cs="Lustria"/>
          <w:b/>
          <w:bCs/>
          <w:color w:val="000000"/>
          <w:sz w:val="28"/>
          <w:szCs w:val="28"/>
        </w:rPr>
      </w:pPr>
    </w:p>
    <w:p w14:paraId="6F97EA70" w14:textId="77777777" w:rsidR="001B3D58" w:rsidRPr="001B3D58" w:rsidRDefault="001B3D58" w:rsidP="001B3D58">
      <w:pPr>
        <w:pStyle w:val="ListParagraph"/>
        <w:numPr>
          <w:ilvl w:val="0"/>
          <w:numId w:val="39"/>
        </w:numPr>
        <w:spacing w:before="0" w:after="160" w:line="360" w:lineRule="auto"/>
        <w:rPr>
          <w:rFonts w:ascii="Californian FB" w:eastAsia="Lustria" w:hAnsi="Californian FB" w:cs="Lustria"/>
          <w:b/>
          <w:bCs/>
          <w:color w:val="000000"/>
          <w:sz w:val="28"/>
          <w:szCs w:val="28"/>
        </w:rPr>
      </w:pPr>
      <w:r>
        <w:rPr>
          <w:rFonts w:ascii="Californian FB" w:eastAsia="Lustria" w:hAnsi="Californian FB" w:cs="Lustria"/>
          <w:b/>
          <w:bCs/>
          <w:color w:val="000000"/>
          <w:sz w:val="28"/>
          <w:szCs w:val="28"/>
        </w:rPr>
        <w:t>Development</w:t>
      </w:r>
      <w:r w:rsidR="00745C54" w:rsidRPr="001B3D58">
        <w:rPr>
          <w:rFonts w:ascii="Californian FB" w:eastAsia="Lustria" w:hAnsi="Californian FB" w:cs="Lustria"/>
          <w:b/>
          <w:bCs/>
          <w:color w:val="000000"/>
          <w:sz w:val="28"/>
          <w:szCs w:val="28"/>
        </w:rPr>
        <w:t xml:space="preserve"> Employability and Soft Skills</w:t>
      </w:r>
      <w:r w:rsidR="00745C54" w:rsidRPr="001B3D58">
        <w:rPr>
          <w:rFonts w:ascii="Californian FB" w:eastAsia="Lustria" w:hAnsi="Californian FB" w:cs="Lustria"/>
          <w:bCs/>
          <w:color w:val="000000"/>
          <w:sz w:val="28"/>
          <w:szCs w:val="28"/>
        </w:rPr>
        <w:t xml:space="preserve"> -Universities nurture a wide range of skills, ensuring students are well rounded and workplace ready, for example digital literacy, commercial awareness, communication skills, creativity and innovation, emotional </w:t>
      </w:r>
      <w:r w:rsidR="00745C54" w:rsidRPr="001B3D58">
        <w:rPr>
          <w:rFonts w:ascii="Californian FB" w:eastAsia="Lustria" w:hAnsi="Californian FB" w:cs="Lustria"/>
          <w:bCs/>
          <w:color w:val="000000"/>
          <w:sz w:val="28"/>
          <w:szCs w:val="28"/>
        </w:rPr>
        <w:lastRenderedPageBreak/>
        <w:t xml:space="preserve">intelligence, organisation and time Management, teamwork and leadership etc. </w:t>
      </w:r>
    </w:p>
    <w:p w14:paraId="3BA56AFE" w14:textId="77777777" w:rsidR="001B3D58" w:rsidRPr="001B3D58" w:rsidRDefault="001B3D58" w:rsidP="001B3D58">
      <w:pPr>
        <w:pStyle w:val="NoSpacing"/>
        <w:rPr>
          <w:rFonts w:eastAsia="Lustria"/>
          <w:lang w:val="en-US"/>
        </w:rPr>
      </w:pPr>
    </w:p>
    <w:p w14:paraId="2DFFCBC1" w14:textId="77777777" w:rsidR="001B3D58" w:rsidRPr="001B3D58" w:rsidRDefault="001B3D58" w:rsidP="001B3D58">
      <w:pPr>
        <w:pStyle w:val="ListParagraph"/>
        <w:numPr>
          <w:ilvl w:val="0"/>
          <w:numId w:val="39"/>
        </w:numPr>
        <w:spacing w:before="0" w:after="160" w:line="360" w:lineRule="auto"/>
        <w:rPr>
          <w:rFonts w:ascii="Californian FB" w:eastAsia="Lustria" w:hAnsi="Californian FB" w:cs="Lustria"/>
          <w:b/>
          <w:bCs/>
          <w:color w:val="000000"/>
          <w:sz w:val="28"/>
          <w:szCs w:val="28"/>
        </w:rPr>
      </w:pPr>
      <w:r w:rsidRPr="001B3D58">
        <w:rPr>
          <w:rFonts w:ascii="Californian FB" w:eastAsia="Lustria" w:hAnsi="Californian FB" w:cs="Lustria"/>
          <w:bCs/>
          <w:color w:val="000000"/>
          <w:sz w:val="28"/>
          <w:szCs w:val="28"/>
          <w:lang w:val="en-US"/>
        </w:rPr>
        <w:t>Other</w:t>
      </w:r>
      <w:r w:rsidRPr="001B3D58">
        <w:rPr>
          <w:rFonts w:ascii="Californian FB" w:eastAsia="Lustria" w:hAnsi="Californian FB" w:cs="Lustria"/>
          <w:bCs/>
          <w:color w:val="000000"/>
          <w:sz w:val="28"/>
          <w:szCs w:val="28"/>
          <w:lang w:val="en-US"/>
        </w:rPr>
        <w:t xml:space="preserve"> non-policy documents such as </w:t>
      </w:r>
      <w:r w:rsidRPr="001B3D58">
        <w:rPr>
          <w:rFonts w:ascii="Californian FB" w:eastAsia="Lustria" w:hAnsi="Californian FB" w:cs="Lustria"/>
          <w:bCs/>
          <w:color w:val="000000"/>
          <w:sz w:val="28"/>
          <w:szCs w:val="28"/>
          <w:lang w:val="en-BW"/>
        </w:rPr>
        <w:t xml:space="preserve">research outputs </w:t>
      </w:r>
      <w:r w:rsidRPr="001B3D58">
        <w:rPr>
          <w:rFonts w:ascii="Californian FB" w:eastAsia="Lustria" w:hAnsi="Californian FB" w:cs="Lustria"/>
          <w:bCs/>
          <w:color w:val="000000"/>
          <w:sz w:val="28"/>
          <w:szCs w:val="28"/>
        </w:rPr>
        <w:t xml:space="preserve">and </w:t>
      </w:r>
      <w:r w:rsidRPr="001B3D58">
        <w:rPr>
          <w:rFonts w:ascii="Californian FB" w:eastAsia="Lustria" w:hAnsi="Californian FB" w:cs="Lustria"/>
          <w:bCs/>
          <w:color w:val="000000"/>
          <w:sz w:val="28"/>
          <w:szCs w:val="28"/>
          <w:lang w:val="en-US"/>
        </w:rPr>
        <w:t xml:space="preserve">reports by the Higher Education Policy Institute (HEPI) and sector-wide toolkits guide Universities in embedding employability into their strategies. </w:t>
      </w:r>
      <w:r>
        <w:rPr>
          <w:rFonts w:ascii="Californian FB" w:eastAsia="Lustria" w:hAnsi="Californian FB" w:cs="Lustria"/>
          <w:bCs/>
          <w:color w:val="000000"/>
          <w:sz w:val="28"/>
          <w:szCs w:val="28"/>
          <w:lang w:val="en-US"/>
        </w:rPr>
        <w:t xml:space="preserve">In addition, </w:t>
      </w:r>
      <w:r w:rsidR="00B05768" w:rsidRPr="001B3D58">
        <w:rPr>
          <w:rFonts w:ascii="Californian FB" w:eastAsia="Lustria" w:hAnsi="Californian FB" w:cs="Lustria"/>
          <w:bCs/>
          <w:color w:val="000000"/>
          <w:sz w:val="28"/>
          <w:szCs w:val="28"/>
          <w:lang w:val="en-BW"/>
        </w:rPr>
        <w:t xml:space="preserve">HESA publishes an annual Graduate Outcomes Quality Report, which outlines survey methods, data validation processes, and key results. </w:t>
      </w:r>
    </w:p>
    <w:p w14:paraId="154C191B" w14:textId="77777777" w:rsidR="001B3D58" w:rsidRPr="001B3D58" w:rsidRDefault="001B3D58" w:rsidP="001B3D58">
      <w:pPr>
        <w:pStyle w:val="NoSpacing"/>
        <w:rPr>
          <w:rFonts w:eastAsia="Lustria"/>
          <w:lang w:val="en-BW"/>
        </w:rPr>
      </w:pPr>
    </w:p>
    <w:p w14:paraId="11D2F67E" w14:textId="1ED789B7" w:rsidR="00F961DF" w:rsidRDefault="00B05768" w:rsidP="001B3D58">
      <w:pPr>
        <w:pStyle w:val="ListParagraph"/>
        <w:numPr>
          <w:ilvl w:val="0"/>
          <w:numId w:val="39"/>
        </w:numPr>
        <w:spacing w:before="0" w:after="160" w:line="360" w:lineRule="auto"/>
        <w:rPr>
          <w:rFonts w:ascii="Californian FB" w:eastAsia="Lustria" w:hAnsi="Californian FB" w:cs="Lustria"/>
          <w:b/>
          <w:bCs/>
          <w:color w:val="000000"/>
          <w:sz w:val="28"/>
          <w:szCs w:val="28"/>
        </w:rPr>
      </w:pPr>
      <w:r w:rsidRPr="001B3D58">
        <w:rPr>
          <w:rFonts w:ascii="Californian FB" w:eastAsia="Lustria" w:hAnsi="Californian FB" w:cs="Lustria"/>
          <w:bCs/>
          <w:color w:val="000000"/>
          <w:sz w:val="28"/>
          <w:szCs w:val="28"/>
          <w:lang w:val="en-BW"/>
        </w:rPr>
        <w:t>Beyond technical reports, England has developed several public-facing digital platforms that apply graduate data to inform decision-making. For example, Discover Uni, Prospects.ac.uk, and the National Careers Service use GOS and LEO data to offer guidance on employment prospects by course, subject area, and institution (Universities UK, 2023). These platforms are particularly useful for prospective students, career advisors, and employers seeking to better understand the value of specific educational pathways</w:t>
      </w:r>
      <w:r w:rsidRPr="001B3D58">
        <w:rPr>
          <w:rFonts w:ascii="Californian FB" w:eastAsia="Lustria" w:hAnsi="Californian FB" w:cs="Lustria"/>
          <w:b/>
          <w:bCs/>
          <w:color w:val="000000"/>
          <w:sz w:val="28"/>
          <w:szCs w:val="28"/>
          <w:lang w:val="en-BW"/>
        </w:rPr>
        <w:t>.</w:t>
      </w:r>
    </w:p>
    <w:p w14:paraId="4DCAE39B" w14:textId="77777777" w:rsidR="001B3D58" w:rsidRPr="001B3D58" w:rsidRDefault="001B3D58" w:rsidP="001B3D58">
      <w:pPr>
        <w:pStyle w:val="NoSpacing"/>
        <w:rPr>
          <w:rFonts w:eastAsia="Lustria"/>
        </w:rPr>
      </w:pPr>
    </w:p>
    <w:p w14:paraId="02C1B84D" w14:textId="4275E533" w:rsidR="005A7BC7" w:rsidRDefault="00422810" w:rsidP="001B3D58">
      <w:pPr>
        <w:pStyle w:val="ListParagraph"/>
        <w:numPr>
          <w:ilvl w:val="0"/>
          <w:numId w:val="14"/>
        </w:numPr>
        <w:spacing w:before="0" w:after="160" w:line="360" w:lineRule="auto"/>
        <w:rPr>
          <w:rFonts w:ascii="Californian FB" w:eastAsia="Lustria" w:hAnsi="Californian FB" w:cs="Lustria"/>
          <w:b/>
          <w:bCs/>
          <w:color w:val="000000"/>
          <w:sz w:val="28"/>
          <w:szCs w:val="28"/>
        </w:rPr>
      </w:pPr>
      <w:r w:rsidRPr="000C0537">
        <w:rPr>
          <w:rFonts w:ascii="Californian FB" w:eastAsia="Lustria" w:hAnsi="Californian FB" w:cs="Lustria"/>
          <w:b/>
          <w:bCs/>
          <w:color w:val="000000"/>
          <w:sz w:val="28"/>
          <w:szCs w:val="28"/>
        </w:rPr>
        <w:t>Tools and mechanisms for Monitoring HE graduates’ employability; implementation approach for students and academic staff.</w:t>
      </w:r>
    </w:p>
    <w:p w14:paraId="3FE6B031" w14:textId="77777777" w:rsidR="00E65F69" w:rsidRPr="00E65F69" w:rsidRDefault="00E65F69" w:rsidP="001B3D58">
      <w:pPr>
        <w:pStyle w:val="NoSpacing"/>
        <w:rPr>
          <w:rFonts w:eastAsia="Lustria"/>
        </w:rPr>
      </w:pPr>
    </w:p>
    <w:p w14:paraId="639270F3" w14:textId="5A42ACE4" w:rsidR="00B05768" w:rsidRPr="00B05768" w:rsidRDefault="005A7BC7" w:rsidP="001B3D58">
      <w:pPr>
        <w:pStyle w:val="ListParagraph"/>
        <w:numPr>
          <w:ilvl w:val="0"/>
          <w:numId w:val="20"/>
        </w:numPr>
        <w:spacing w:before="0" w:after="160" w:line="360" w:lineRule="auto"/>
        <w:rPr>
          <w:rFonts w:ascii="Californian FB" w:eastAsia="Lustria" w:hAnsi="Californian FB" w:cs="Lustria"/>
          <w:color w:val="000000"/>
          <w:sz w:val="28"/>
          <w:szCs w:val="28"/>
          <w:lang w:val="en-BW"/>
        </w:rPr>
      </w:pPr>
      <w:r w:rsidRPr="00DB26FA">
        <w:rPr>
          <w:rFonts w:ascii="Californian FB" w:eastAsia="Lustria" w:hAnsi="Californian FB" w:cs="Lustria"/>
          <w:b/>
          <w:color w:val="000000"/>
          <w:sz w:val="28"/>
          <w:szCs w:val="28"/>
          <w:lang w:val="en-US"/>
        </w:rPr>
        <w:t>Institutional surveys and records</w:t>
      </w:r>
      <w:r w:rsidRPr="00DB26FA">
        <w:rPr>
          <w:rFonts w:ascii="Californian FB" w:eastAsia="Lustria" w:hAnsi="Californian FB" w:cs="Lustria"/>
          <w:color w:val="000000"/>
          <w:sz w:val="28"/>
          <w:szCs w:val="28"/>
          <w:lang w:val="en-US"/>
        </w:rPr>
        <w:t xml:space="preserve">: </w:t>
      </w:r>
      <w:r w:rsidR="0090256D" w:rsidRPr="0090256D">
        <w:rPr>
          <w:rFonts w:ascii="Californian FB" w:eastAsia="Lustria" w:hAnsi="Californian FB" w:cs="Lustria"/>
          <w:color w:val="000000"/>
          <w:sz w:val="28"/>
          <w:szCs w:val="28"/>
        </w:rPr>
        <w:t>Universities regularly collect feedback through exit and follow-up surveys.</w:t>
      </w:r>
      <w:r w:rsidR="00B05768">
        <w:rPr>
          <w:rFonts w:ascii="Californian FB" w:eastAsia="Lustria" w:hAnsi="Californian FB" w:cs="Lustria"/>
          <w:color w:val="000000"/>
          <w:sz w:val="28"/>
          <w:szCs w:val="28"/>
          <w:lang w:val="en-US"/>
        </w:rPr>
        <w:t xml:space="preserve"> </w:t>
      </w:r>
      <w:r w:rsidR="00B05768" w:rsidRPr="00B05768">
        <w:rPr>
          <w:rFonts w:ascii="Californian FB" w:eastAsia="Lustria" w:hAnsi="Californian FB" w:cs="Lustria"/>
          <w:color w:val="000000"/>
          <w:sz w:val="28"/>
          <w:szCs w:val="28"/>
          <w:lang w:val="en-BW"/>
        </w:rPr>
        <w:t xml:space="preserve">To increase participation in the GOS and improve the relevance of career services, universities use targeted alumni engagement strategies. For example, pre-survey communication campaigns, alumni newsletters, and graduation briefings are common methods used to build awareness. </w:t>
      </w:r>
    </w:p>
    <w:p w14:paraId="53A97DCE" w14:textId="334BDEF7" w:rsidR="00EF4BFF" w:rsidRPr="00EF4BFF" w:rsidRDefault="005A7BC7" w:rsidP="001B3D58">
      <w:pPr>
        <w:pStyle w:val="ListParagraph"/>
        <w:spacing w:before="0" w:after="160" w:line="360" w:lineRule="auto"/>
        <w:ind w:left="1080"/>
        <w:rPr>
          <w:rFonts w:ascii="Californian FB" w:eastAsia="Lustria" w:hAnsi="Californian FB" w:cs="Lustria"/>
          <w:i/>
          <w:color w:val="000000"/>
          <w:sz w:val="28"/>
          <w:szCs w:val="28"/>
          <w:lang w:val="en-US"/>
        </w:rPr>
      </w:pPr>
      <w:r w:rsidRPr="00DB26FA">
        <w:rPr>
          <w:rFonts w:ascii="Californian FB" w:eastAsia="Lustria" w:hAnsi="Californian FB" w:cs="Lustria"/>
          <w:color w:val="000000"/>
          <w:sz w:val="28"/>
          <w:szCs w:val="28"/>
          <w:lang w:val="en-US"/>
        </w:rPr>
        <w:t xml:space="preserve"> </w:t>
      </w:r>
      <w:r w:rsidR="00EF4BFF">
        <w:rPr>
          <w:rFonts w:ascii="Californian FB" w:eastAsia="Lustria" w:hAnsi="Californian FB" w:cs="Lustria"/>
          <w:color w:val="000000"/>
          <w:sz w:val="28"/>
          <w:szCs w:val="28"/>
          <w:lang w:val="en-US"/>
        </w:rPr>
        <w:t>For example;</w:t>
      </w:r>
    </w:p>
    <w:p w14:paraId="4AEF83AA" w14:textId="77777777" w:rsidR="00B05768" w:rsidRPr="00B05768" w:rsidRDefault="00B05768" w:rsidP="001B3D58">
      <w:pPr>
        <w:pStyle w:val="ListParagraph"/>
        <w:numPr>
          <w:ilvl w:val="0"/>
          <w:numId w:val="29"/>
        </w:numPr>
        <w:spacing w:before="0" w:after="160" w:line="360" w:lineRule="auto"/>
        <w:rPr>
          <w:rFonts w:ascii="Californian FB" w:eastAsia="Lustria" w:hAnsi="Californian FB" w:cs="Lustria"/>
          <w:i/>
          <w:color w:val="000000"/>
          <w:sz w:val="28"/>
          <w:szCs w:val="28"/>
          <w:lang w:val="en-US"/>
        </w:rPr>
      </w:pPr>
      <w:r w:rsidRPr="00B05768">
        <w:rPr>
          <w:rFonts w:ascii="Californian FB" w:eastAsia="Lustria" w:hAnsi="Californian FB" w:cs="Lustria"/>
          <w:i/>
          <w:color w:val="000000"/>
          <w:sz w:val="28"/>
          <w:szCs w:val="28"/>
          <w:lang w:val="en-BW"/>
        </w:rPr>
        <w:lastRenderedPageBreak/>
        <w:t>London School of Management Education (LSME) have developed student portals that provide reminders and interactive career planning tools to maintain contact with recent graduates (HESA, 2024</w:t>
      </w:r>
    </w:p>
    <w:p w14:paraId="783C808D" w14:textId="619AEC9E" w:rsidR="005A7BC7" w:rsidRPr="00EF4BFF" w:rsidRDefault="00EF4BFF" w:rsidP="001B3D58">
      <w:pPr>
        <w:pStyle w:val="ListParagraph"/>
        <w:numPr>
          <w:ilvl w:val="0"/>
          <w:numId w:val="29"/>
        </w:numPr>
        <w:spacing w:before="0" w:after="160" w:line="360" w:lineRule="auto"/>
        <w:rPr>
          <w:rFonts w:ascii="Californian FB" w:eastAsia="Lustria" w:hAnsi="Californian FB" w:cs="Lustria"/>
          <w:i/>
          <w:color w:val="000000"/>
          <w:sz w:val="28"/>
          <w:szCs w:val="28"/>
          <w:lang w:val="en-US"/>
        </w:rPr>
      </w:pPr>
      <w:proofErr w:type="gramStart"/>
      <w:r>
        <w:rPr>
          <w:rFonts w:ascii="Californian FB" w:eastAsia="Lustria" w:hAnsi="Californian FB" w:cs="Lustria"/>
          <w:color w:val="000000"/>
          <w:sz w:val="28"/>
          <w:szCs w:val="28"/>
          <w:lang w:val="en-US"/>
        </w:rPr>
        <w:t>the</w:t>
      </w:r>
      <w:proofErr w:type="gramEnd"/>
      <w:r>
        <w:rPr>
          <w:rFonts w:ascii="Californian FB" w:eastAsia="Lustria" w:hAnsi="Californian FB" w:cs="Lustria"/>
          <w:color w:val="000000"/>
          <w:sz w:val="28"/>
          <w:szCs w:val="28"/>
          <w:lang w:val="en-US"/>
        </w:rPr>
        <w:t xml:space="preserve"> </w:t>
      </w:r>
      <w:proofErr w:type="spellStart"/>
      <w:r w:rsidR="005A7BC7" w:rsidRPr="00EF4BFF">
        <w:rPr>
          <w:rFonts w:ascii="Californian FB" w:eastAsia="Lustria" w:hAnsi="Californian FB" w:cs="Lustria"/>
          <w:i/>
          <w:color w:val="000000"/>
          <w:sz w:val="28"/>
          <w:szCs w:val="28"/>
          <w:lang w:val="en-US"/>
        </w:rPr>
        <w:t>Northu</w:t>
      </w:r>
      <w:r>
        <w:rPr>
          <w:rFonts w:ascii="Californian FB" w:eastAsia="Lustria" w:hAnsi="Californian FB" w:cs="Lustria"/>
          <w:i/>
          <w:color w:val="000000"/>
          <w:sz w:val="28"/>
          <w:szCs w:val="28"/>
          <w:lang w:val="en-US"/>
        </w:rPr>
        <w:t>mbria’s</w:t>
      </w:r>
      <w:proofErr w:type="spellEnd"/>
      <w:r>
        <w:rPr>
          <w:rFonts w:ascii="Californian FB" w:eastAsia="Lustria" w:hAnsi="Californian FB" w:cs="Lustria"/>
          <w:i/>
          <w:color w:val="000000"/>
          <w:sz w:val="28"/>
          <w:szCs w:val="28"/>
          <w:lang w:val="en-US"/>
        </w:rPr>
        <w:t xml:space="preserve"> Career Readiness Survey</w:t>
      </w:r>
      <w:r w:rsidR="005A7BC7" w:rsidRPr="00EF4BFF">
        <w:rPr>
          <w:rFonts w:ascii="Californian FB" w:eastAsia="Lustria" w:hAnsi="Californian FB" w:cs="Lustria"/>
          <w:i/>
          <w:color w:val="000000"/>
          <w:sz w:val="28"/>
          <w:szCs w:val="28"/>
          <w:lang w:val="en-US"/>
        </w:rPr>
        <w:t xml:space="preserve"> offer detailed, proactive evaluative data a</w:t>
      </w:r>
      <w:r w:rsidR="003E36FE" w:rsidRPr="00EF4BFF">
        <w:rPr>
          <w:rFonts w:ascii="Californian FB" w:eastAsia="Lustria" w:hAnsi="Californian FB" w:cs="Lustria"/>
          <w:i/>
          <w:color w:val="000000"/>
          <w:sz w:val="28"/>
          <w:szCs w:val="28"/>
          <w:lang w:val="en-US"/>
        </w:rPr>
        <w:t>round student engagement and</w:t>
      </w:r>
      <w:r w:rsidR="005A7BC7" w:rsidRPr="00EF4BFF">
        <w:rPr>
          <w:rFonts w:ascii="Californian FB" w:eastAsia="Lustria" w:hAnsi="Californian FB" w:cs="Lustria"/>
          <w:i/>
          <w:color w:val="000000"/>
          <w:sz w:val="28"/>
          <w:szCs w:val="28"/>
          <w:lang w:val="en-US"/>
        </w:rPr>
        <w:t xml:space="preserve"> student preparedness.</w:t>
      </w:r>
    </w:p>
    <w:p w14:paraId="0A87AD5B" w14:textId="77777777" w:rsidR="00EE5B6F" w:rsidRPr="00DB26FA" w:rsidRDefault="00EE5B6F" w:rsidP="001B3D58">
      <w:pPr>
        <w:pStyle w:val="ListParagraph"/>
        <w:spacing w:before="0" w:after="160" w:line="360" w:lineRule="auto"/>
        <w:ind w:left="1080"/>
        <w:rPr>
          <w:rFonts w:ascii="Californian FB" w:eastAsia="Lustria" w:hAnsi="Californian FB" w:cs="Lustria"/>
          <w:color w:val="000000"/>
          <w:sz w:val="28"/>
          <w:szCs w:val="28"/>
          <w:lang w:val="en-US"/>
        </w:rPr>
      </w:pPr>
    </w:p>
    <w:p w14:paraId="7E3DDF0C" w14:textId="2518E368" w:rsidR="00B05768" w:rsidRPr="008D1B0D" w:rsidRDefault="005A7BC7" w:rsidP="001B3D58">
      <w:pPr>
        <w:pStyle w:val="ListParagraph"/>
        <w:numPr>
          <w:ilvl w:val="0"/>
          <w:numId w:val="20"/>
        </w:numPr>
        <w:spacing w:line="360" w:lineRule="auto"/>
        <w:rPr>
          <w:rFonts w:ascii="Californian FB" w:eastAsia="Lustria" w:hAnsi="Californian FB" w:cs="Lustria"/>
          <w:color w:val="000000"/>
          <w:sz w:val="28"/>
          <w:szCs w:val="28"/>
          <w:lang w:val="en-BW"/>
        </w:rPr>
      </w:pPr>
      <w:r w:rsidRPr="00DB26FA">
        <w:rPr>
          <w:rFonts w:ascii="Californian FB" w:eastAsia="Lustria" w:hAnsi="Californian FB" w:cs="Lustria"/>
          <w:b/>
          <w:color w:val="000000"/>
          <w:sz w:val="28"/>
          <w:szCs w:val="28"/>
          <w:lang w:val="en-US"/>
        </w:rPr>
        <w:t>Career service management platforms</w:t>
      </w:r>
      <w:r w:rsidR="00B21EED">
        <w:rPr>
          <w:rFonts w:ascii="Californian FB" w:eastAsia="Lustria" w:hAnsi="Californian FB" w:cs="Lustria"/>
          <w:b/>
          <w:color w:val="000000"/>
          <w:sz w:val="28"/>
          <w:szCs w:val="28"/>
          <w:lang w:val="en-US"/>
        </w:rPr>
        <w:t>/portals</w:t>
      </w:r>
      <w:r w:rsidRPr="00DB26FA">
        <w:rPr>
          <w:rFonts w:ascii="Californian FB" w:eastAsia="Lustria" w:hAnsi="Californian FB" w:cs="Lustria"/>
          <w:b/>
          <w:color w:val="000000"/>
          <w:sz w:val="28"/>
          <w:szCs w:val="28"/>
          <w:lang w:val="en-US"/>
        </w:rPr>
        <w:t xml:space="preserve"> -</w:t>
      </w:r>
      <w:r w:rsidRPr="00DB26FA">
        <w:rPr>
          <w:rFonts w:ascii="Californian FB" w:eastAsia="Lustria" w:hAnsi="Californian FB" w:cs="Lustria"/>
          <w:color w:val="000000"/>
          <w:sz w:val="28"/>
          <w:szCs w:val="28"/>
          <w:lang w:val="en-US"/>
        </w:rPr>
        <w:t xml:space="preserve"> </w:t>
      </w:r>
      <w:r w:rsidR="00B05768" w:rsidRPr="00B05768">
        <w:rPr>
          <w:rFonts w:ascii="Californian FB" w:eastAsia="Lustria" w:hAnsi="Californian FB" w:cs="Lustria"/>
          <w:color w:val="000000"/>
          <w:sz w:val="28"/>
          <w:szCs w:val="28"/>
          <w:lang w:val="en-BW"/>
        </w:rPr>
        <w:t>Students also benefit from personalised career development tools and services offered throughout and after their studies. Platforms such as The Access Group’s Career Development Portal are used by universities to track student engagement, offer tailored advice, and support the development of job-ready skills (The Access Group, 2024). These systems allow for early intervention, ensuring that students who are at risk of underemployment receive targeted support.</w:t>
      </w:r>
      <w:r w:rsidR="008D1B0D">
        <w:rPr>
          <w:rFonts w:ascii="Californian FB" w:eastAsia="Lustria" w:hAnsi="Californian FB" w:cs="Lustria"/>
          <w:color w:val="000000"/>
          <w:sz w:val="28"/>
          <w:szCs w:val="28"/>
        </w:rPr>
        <w:t xml:space="preserve"> In addition, m</w:t>
      </w:r>
      <w:r w:rsidR="0090256D" w:rsidRPr="0090256D">
        <w:rPr>
          <w:rFonts w:ascii="Californian FB" w:eastAsia="Lustria" w:hAnsi="Californian FB" w:cs="Lustria"/>
          <w:color w:val="000000"/>
          <w:sz w:val="28"/>
          <w:szCs w:val="28"/>
        </w:rPr>
        <w:t xml:space="preserve">any institutions use digital systems such as </w:t>
      </w:r>
      <w:proofErr w:type="spellStart"/>
      <w:r w:rsidR="0090256D" w:rsidRPr="0090256D">
        <w:rPr>
          <w:rFonts w:ascii="Californian FB" w:eastAsia="Lustria" w:hAnsi="Californian FB" w:cs="Lustria"/>
          <w:color w:val="000000"/>
          <w:sz w:val="28"/>
          <w:szCs w:val="28"/>
        </w:rPr>
        <w:t>TargetConnect</w:t>
      </w:r>
      <w:proofErr w:type="spellEnd"/>
      <w:r w:rsidR="0090256D" w:rsidRPr="0090256D">
        <w:rPr>
          <w:rFonts w:ascii="Californian FB" w:eastAsia="Lustria" w:hAnsi="Californian FB" w:cs="Lustria"/>
          <w:color w:val="000000"/>
          <w:sz w:val="28"/>
          <w:szCs w:val="28"/>
        </w:rPr>
        <w:t>, Handshake, and others to support students and monitor outcomes</w:t>
      </w:r>
      <w:r w:rsidR="00B05768">
        <w:rPr>
          <w:rFonts w:ascii="Californian FB" w:eastAsia="Lustria" w:hAnsi="Californian FB" w:cs="Lustria"/>
          <w:color w:val="000000"/>
          <w:sz w:val="28"/>
          <w:szCs w:val="28"/>
        </w:rPr>
        <w:t>.</w:t>
      </w:r>
      <w:r w:rsidR="00B05768">
        <w:rPr>
          <w:rFonts w:ascii="Californian FB" w:eastAsia="Lustria" w:hAnsi="Californian FB" w:cs="Lustria"/>
          <w:color w:val="000000"/>
          <w:sz w:val="28"/>
          <w:szCs w:val="28"/>
          <w:lang w:val="en-US"/>
        </w:rPr>
        <w:t xml:space="preserve"> </w:t>
      </w:r>
      <w:r w:rsidR="008468FB">
        <w:rPr>
          <w:rFonts w:ascii="Californian FB" w:eastAsia="Lustria" w:hAnsi="Californian FB" w:cs="Lustria"/>
          <w:color w:val="000000"/>
          <w:sz w:val="28"/>
          <w:szCs w:val="28"/>
          <w:lang w:val="en-US"/>
        </w:rPr>
        <w:t xml:space="preserve"> </w:t>
      </w:r>
    </w:p>
    <w:p w14:paraId="4CDAC45E" w14:textId="26A2CE11" w:rsidR="003E36FE" w:rsidRPr="0090256D" w:rsidRDefault="003E36FE" w:rsidP="001B3D58">
      <w:pPr>
        <w:pStyle w:val="ListParagraph"/>
        <w:spacing w:line="360" w:lineRule="auto"/>
        <w:ind w:left="1080"/>
        <w:rPr>
          <w:rFonts w:ascii="Californian FB" w:eastAsia="Lustria" w:hAnsi="Californian FB" w:cs="Lustria"/>
          <w:bCs/>
          <w:color w:val="000000"/>
          <w:sz w:val="28"/>
          <w:szCs w:val="28"/>
          <w:lang w:val="en-US"/>
        </w:rPr>
      </w:pPr>
      <w:r>
        <w:rPr>
          <w:rFonts w:ascii="Californian FB" w:eastAsia="Lustria" w:hAnsi="Californian FB" w:cs="Lustria"/>
          <w:color w:val="000000"/>
          <w:sz w:val="28"/>
          <w:szCs w:val="28"/>
          <w:lang w:val="en-US"/>
        </w:rPr>
        <w:t>For example,</w:t>
      </w:r>
    </w:p>
    <w:p w14:paraId="0D9E5CCC" w14:textId="4A9F38D5" w:rsidR="003E36FE" w:rsidRPr="00EF4BFF" w:rsidRDefault="003E36FE" w:rsidP="001B3D58">
      <w:pPr>
        <w:pStyle w:val="ListParagraph"/>
        <w:numPr>
          <w:ilvl w:val="0"/>
          <w:numId w:val="26"/>
        </w:numPr>
        <w:spacing w:line="360" w:lineRule="auto"/>
        <w:rPr>
          <w:rFonts w:ascii="Californian FB" w:eastAsia="Lustria" w:hAnsi="Californian FB" w:cs="Lustria"/>
          <w:bCs/>
          <w:i/>
          <w:color w:val="000000"/>
          <w:sz w:val="28"/>
          <w:szCs w:val="28"/>
          <w:lang w:val="en-US"/>
        </w:rPr>
      </w:pPr>
      <w:r w:rsidRPr="00EF4BFF">
        <w:rPr>
          <w:rFonts w:ascii="Californian FB" w:eastAsia="Lustria" w:hAnsi="Californian FB" w:cs="Lustria"/>
          <w:i/>
          <w:color w:val="000000"/>
          <w:sz w:val="28"/>
          <w:szCs w:val="28"/>
          <w:lang w:val="en-US"/>
        </w:rPr>
        <w:t>University of Reading’s “Destinations” portal offers students access to career resources, workshops and personalized guidance</w:t>
      </w:r>
      <w:bookmarkStart w:id="0" w:name="fnref4"/>
      <w:bookmarkEnd w:id="0"/>
      <w:r w:rsidRPr="00EF4BFF">
        <w:rPr>
          <w:rFonts w:ascii="Californian FB" w:eastAsia="Lustria" w:hAnsi="Californian FB" w:cs="Lustria"/>
          <w:i/>
          <w:color w:val="000000"/>
          <w:sz w:val="28"/>
          <w:szCs w:val="28"/>
          <w:lang w:val="en-US"/>
        </w:rPr>
        <w:t xml:space="preserve">. </w:t>
      </w:r>
    </w:p>
    <w:p w14:paraId="67043AB7" w14:textId="0F5AB7F5" w:rsidR="008468FB" w:rsidRPr="00EF4BFF" w:rsidRDefault="008468FB" w:rsidP="001B3D58">
      <w:pPr>
        <w:pStyle w:val="ListParagraph"/>
        <w:numPr>
          <w:ilvl w:val="0"/>
          <w:numId w:val="26"/>
        </w:numPr>
        <w:spacing w:line="360" w:lineRule="auto"/>
        <w:rPr>
          <w:rFonts w:ascii="Californian FB" w:eastAsia="Lustria" w:hAnsi="Californian FB" w:cs="Lustria"/>
          <w:bCs/>
          <w:i/>
          <w:color w:val="000000"/>
          <w:sz w:val="28"/>
          <w:szCs w:val="28"/>
          <w:lang w:val="en-US"/>
        </w:rPr>
      </w:pPr>
      <w:r w:rsidRPr="00EF4BFF">
        <w:rPr>
          <w:rFonts w:ascii="Californian FB" w:eastAsia="Lustria" w:hAnsi="Californian FB" w:cs="Lustria"/>
          <w:bCs/>
          <w:i/>
          <w:color w:val="000000"/>
          <w:sz w:val="28"/>
          <w:szCs w:val="28"/>
          <w:lang w:val="en-US"/>
        </w:rPr>
        <w:t>University of Leeds – LinkedIn Learning and Digital Credentials</w:t>
      </w:r>
      <w:r w:rsidR="003E36FE" w:rsidRPr="00EF4BFF">
        <w:rPr>
          <w:rFonts w:ascii="Californian FB" w:eastAsia="Lustria" w:hAnsi="Californian FB" w:cs="Lustria"/>
          <w:bCs/>
          <w:i/>
          <w:color w:val="000000"/>
          <w:sz w:val="28"/>
          <w:szCs w:val="28"/>
          <w:lang w:val="en-US"/>
        </w:rPr>
        <w:t xml:space="preserve"> </w:t>
      </w:r>
      <w:r w:rsidRPr="00EF4BFF">
        <w:rPr>
          <w:rFonts w:ascii="Californian FB" w:eastAsia="Lustria" w:hAnsi="Californian FB" w:cs="Lustria"/>
          <w:i/>
          <w:color w:val="000000"/>
          <w:sz w:val="28"/>
          <w:szCs w:val="28"/>
          <w:lang w:val="en-US"/>
        </w:rPr>
        <w:t xml:space="preserve">provides free </w:t>
      </w:r>
      <w:r w:rsidRPr="00EF4BFF">
        <w:rPr>
          <w:rFonts w:ascii="Californian FB" w:eastAsia="Lustria" w:hAnsi="Californian FB" w:cs="Lustria"/>
          <w:bCs/>
          <w:i/>
          <w:color w:val="000000"/>
          <w:sz w:val="28"/>
          <w:szCs w:val="28"/>
          <w:lang w:val="en-US"/>
        </w:rPr>
        <w:t>LinkedIn Learning</w:t>
      </w:r>
      <w:r w:rsidRPr="00EF4BFF">
        <w:rPr>
          <w:rFonts w:ascii="Californian FB" w:eastAsia="Lustria" w:hAnsi="Californian FB" w:cs="Lustria"/>
          <w:i/>
          <w:color w:val="000000"/>
          <w:sz w:val="28"/>
          <w:szCs w:val="28"/>
          <w:lang w:val="en-US"/>
        </w:rPr>
        <w:t xml:space="preserve"> licenses to all students and staff. Course completion data is used to track digital upskilling trends and align with employer needs.</w:t>
      </w:r>
    </w:p>
    <w:p w14:paraId="1B1C5E19" w14:textId="1D1A9A57" w:rsidR="00DB26FA" w:rsidRPr="00EF4BFF" w:rsidRDefault="003E36FE" w:rsidP="001B3D58">
      <w:pPr>
        <w:pStyle w:val="ListParagraph"/>
        <w:numPr>
          <w:ilvl w:val="0"/>
          <w:numId w:val="26"/>
        </w:numPr>
        <w:spacing w:line="360" w:lineRule="auto"/>
        <w:rPr>
          <w:rFonts w:ascii="Californian FB" w:eastAsia="Lustria" w:hAnsi="Californian FB" w:cs="Lustria"/>
          <w:bCs/>
          <w:i/>
          <w:color w:val="000000"/>
          <w:sz w:val="28"/>
          <w:szCs w:val="28"/>
          <w:lang w:val="en-US"/>
        </w:rPr>
      </w:pPr>
      <w:r w:rsidRPr="00EF4BFF">
        <w:rPr>
          <w:rFonts w:ascii="Californian FB" w:eastAsia="Lustria" w:hAnsi="Californian FB" w:cs="Lustria"/>
          <w:i/>
          <w:color w:val="000000"/>
          <w:sz w:val="28"/>
          <w:szCs w:val="28"/>
        </w:rPr>
        <w:t xml:space="preserve">Sheffield Hallam University – Career Management System and TEF Alignment- the university uses </w:t>
      </w:r>
      <w:proofErr w:type="spellStart"/>
      <w:r w:rsidRPr="00EF4BFF">
        <w:rPr>
          <w:rFonts w:ascii="Californian FB" w:eastAsia="Lustria" w:hAnsi="Californian FB" w:cs="Lustria"/>
          <w:i/>
          <w:color w:val="000000"/>
          <w:sz w:val="28"/>
          <w:szCs w:val="28"/>
        </w:rPr>
        <w:t>TargetConnect</w:t>
      </w:r>
      <w:proofErr w:type="spellEnd"/>
      <w:r w:rsidRPr="00EF4BFF">
        <w:rPr>
          <w:rFonts w:ascii="Californian FB" w:eastAsia="Lustria" w:hAnsi="Californian FB" w:cs="Lustria"/>
          <w:i/>
          <w:color w:val="000000"/>
          <w:sz w:val="28"/>
          <w:szCs w:val="28"/>
        </w:rPr>
        <w:t>, which integrates career guidance, employer engagement, and student outcomes tracking. Data from the platform feeds directly into TEF submissions.</w:t>
      </w:r>
    </w:p>
    <w:p w14:paraId="209FC6C3" w14:textId="77777777" w:rsidR="003E36FE" w:rsidRPr="003E36FE" w:rsidRDefault="003E36FE" w:rsidP="001B3D58">
      <w:pPr>
        <w:pStyle w:val="ListParagraph"/>
        <w:spacing w:line="360" w:lineRule="auto"/>
        <w:ind w:left="1860"/>
        <w:rPr>
          <w:rFonts w:ascii="Californian FB" w:eastAsia="Lustria" w:hAnsi="Californian FB" w:cs="Lustria"/>
          <w:bCs/>
          <w:color w:val="000000"/>
          <w:sz w:val="28"/>
          <w:szCs w:val="28"/>
          <w:lang w:val="en-US"/>
        </w:rPr>
      </w:pPr>
    </w:p>
    <w:p w14:paraId="05E0B226" w14:textId="77777777" w:rsidR="0090256D" w:rsidRPr="0090256D" w:rsidRDefault="005A7BC7" w:rsidP="001B3D58">
      <w:pPr>
        <w:pStyle w:val="ListParagraph"/>
        <w:numPr>
          <w:ilvl w:val="0"/>
          <w:numId w:val="20"/>
        </w:numPr>
        <w:spacing w:before="0" w:after="160" w:line="360" w:lineRule="auto"/>
        <w:rPr>
          <w:rFonts w:ascii="Californian FB" w:eastAsia="Lustria" w:hAnsi="Californian FB" w:cs="Lustria"/>
          <w:color w:val="000000"/>
          <w:sz w:val="28"/>
          <w:szCs w:val="28"/>
          <w:lang w:val="en-US"/>
        </w:rPr>
      </w:pPr>
      <w:proofErr w:type="spellStart"/>
      <w:r w:rsidRPr="0090256D">
        <w:rPr>
          <w:rFonts w:ascii="Californian FB" w:eastAsia="Lustria" w:hAnsi="Californian FB" w:cs="Lustria"/>
          <w:b/>
          <w:color w:val="000000"/>
          <w:sz w:val="28"/>
          <w:szCs w:val="28"/>
          <w:lang w:val="en-US"/>
        </w:rPr>
        <w:lastRenderedPageBreak/>
        <w:t>Labour</w:t>
      </w:r>
      <w:proofErr w:type="spellEnd"/>
      <w:r w:rsidRPr="0090256D">
        <w:rPr>
          <w:rFonts w:ascii="Californian FB" w:eastAsia="Lustria" w:hAnsi="Californian FB" w:cs="Lustria"/>
          <w:b/>
          <w:color w:val="000000"/>
          <w:sz w:val="28"/>
          <w:szCs w:val="28"/>
          <w:lang w:val="en-US"/>
        </w:rPr>
        <w:t xml:space="preserve"> market intelligence tools</w:t>
      </w:r>
      <w:r w:rsidRPr="0090256D">
        <w:rPr>
          <w:rFonts w:ascii="Californian FB" w:eastAsia="Lustria" w:hAnsi="Californian FB" w:cs="Lustria"/>
          <w:color w:val="000000"/>
          <w:sz w:val="28"/>
          <w:szCs w:val="28"/>
          <w:lang w:val="en-US"/>
        </w:rPr>
        <w:t xml:space="preserve"> - </w:t>
      </w:r>
      <w:r w:rsidR="0090256D" w:rsidRPr="0090256D">
        <w:rPr>
          <w:rFonts w:ascii="Californian FB" w:eastAsia="Lustria" w:hAnsi="Californian FB" w:cs="Lustria"/>
          <w:color w:val="000000"/>
          <w:sz w:val="28"/>
          <w:szCs w:val="28"/>
          <w:lang w:val="en-US"/>
        </w:rPr>
        <w:t>Tools like LMI for All and EMSI help institutions align their programmes with real-world job demand.</w:t>
      </w:r>
    </w:p>
    <w:p w14:paraId="543286D9" w14:textId="3777B17C" w:rsidR="00DB26FA" w:rsidRPr="0090256D" w:rsidRDefault="00DB26FA" w:rsidP="001B3D58">
      <w:pPr>
        <w:pStyle w:val="ListParagraph"/>
        <w:spacing w:before="0" w:after="160" w:line="360" w:lineRule="auto"/>
        <w:ind w:left="1080"/>
        <w:rPr>
          <w:rFonts w:ascii="Californian FB" w:eastAsia="Lustria" w:hAnsi="Californian FB" w:cs="Lustria"/>
          <w:color w:val="000000"/>
          <w:sz w:val="28"/>
          <w:szCs w:val="28"/>
          <w:lang w:val="en-US"/>
        </w:rPr>
      </w:pPr>
    </w:p>
    <w:p w14:paraId="12D8AAF1" w14:textId="77777777" w:rsidR="008D1B0D" w:rsidRPr="008D1B0D" w:rsidRDefault="005A7BC7" w:rsidP="001B3D58">
      <w:pPr>
        <w:pStyle w:val="ListParagraph"/>
        <w:numPr>
          <w:ilvl w:val="0"/>
          <w:numId w:val="20"/>
        </w:numPr>
        <w:spacing w:before="0" w:after="160" w:line="360" w:lineRule="auto"/>
        <w:rPr>
          <w:rFonts w:ascii="Californian FB" w:eastAsia="Lustria" w:hAnsi="Californian FB" w:cs="Lustria"/>
          <w:b/>
          <w:bCs/>
          <w:color w:val="000000"/>
          <w:sz w:val="28"/>
          <w:szCs w:val="28"/>
          <w:lang w:val="en-BW"/>
        </w:rPr>
      </w:pPr>
      <w:r w:rsidRPr="00DB26FA">
        <w:rPr>
          <w:rFonts w:ascii="Californian FB" w:eastAsia="Lustria" w:hAnsi="Californian FB" w:cs="Lustria"/>
          <w:b/>
          <w:color w:val="000000"/>
          <w:sz w:val="28"/>
          <w:szCs w:val="28"/>
          <w:lang w:val="en-US"/>
        </w:rPr>
        <w:t>Employer feedback and partnerships</w:t>
      </w:r>
      <w:r w:rsidRPr="00DB26FA">
        <w:rPr>
          <w:rFonts w:ascii="Californian FB" w:eastAsia="Lustria" w:hAnsi="Californian FB" w:cs="Lustria"/>
          <w:color w:val="000000"/>
          <w:sz w:val="28"/>
          <w:szCs w:val="28"/>
          <w:lang w:val="en-US"/>
        </w:rPr>
        <w:t xml:space="preserve">: </w:t>
      </w:r>
      <w:r w:rsidR="008D1B0D" w:rsidRPr="008D1B0D">
        <w:rPr>
          <w:rFonts w:ascii="Californian FB" w:eastAsia="Lustria" w:hAnsi="Californian FB" w:cs="Lustria"/>
          <w:color w:val="000000"/>
          <w:sz w:val="28"/>
          <w:szCs w:val="28"/>
          <w:lang w:val="en-BW"/>
        </w:rPr>
        <w:t>Employers in England also play a critical role by offering internships and placements, and participating in graduate recruitment events. This collaboration ensures that universities remain responsive to changing labour market needs. Employers also feed into labour market information (LMI) systems used to contextualize graduate tracking data. For instance, employer associations such as the Confederation of British Industry (CBI) and Institute of Student Employers (ISE) collaborate with government departments and HE bodies to report on recruitment trends, starting salaries, and graduate competencies</w:t>
      </w:r>
      <w:r w:rsidR="008D1B0D" w:rsidRPr="008D1B0D">
        <w:rPr>
          <w:rFonts w:ascii="Californian FB" w:eastAsia="Lustria" w:hAnsi="Californian FB" w:cs="Lustria"/>
          <w:b/>
          <w:bCs/>
          <w:color w:val="000000"/>
          <w:sz w:val="28"/>
          <w:szCs w:val="28"/>
          <w:lang w:val="en-BW"/>
        </w:rPr>
        <w:t xml:space="preserve">. </w:t>
      </w:r>
    </w:p>
    <w:p w14:paraId="56F6C534" w14:textId="33936B3A" w:rsidR="00793E8E" w:rsidRPr="0090256D" w:rsidRDefault="00793E8E" w:rsidP="001B3D58">
      <w:pPr>
        <w:pStyle w:val="ListParagraph"/>
        <w:spacing w:before="0" w:after="160" w:line="360" w:lineRule="auto"/>
        <w:ind w:left="1080"/>
        <w:rPr>
          <w:rFonts w:ascii="Californian FB" w:eastAsia="Lustria" w:hAnsi="Californian FB" w:cs="Lustria"/>
          <w:color w:val="000000"/>
          <w:sz w:val="28"/>
          <w:szCs w:val="28"/>
          <w:lang w:val="en-US"/>
        </w:rPr>
      </w:pPr>
      <w:r>
        <w:rPr>
          <w:rFonts w:ascii="Californian FB" w:eastAsia="Lustria" w:hAnsi="Californian FB" w:cs="Lustria"/>
          <w:color w:val="000000"/>
          <w:sz w:val="28"/>
          <w:szCs w:val="28"/>
          <w:lang w:val="en-US"/>
        </w:rPr>
        <w:t>F</w:t>
      </w:r>
      <w:r w:rsidRPr="00DB26FA">
        <w:rPr>
          <w:rFonts w:ascii="Californian FB" w:eastAsia="Lustria" w:hAnsi="Californian FB" w:cs="Lustria"/>
          <w:color w:val="000000"/>
          <w:sz w:val="28"/>
          <w:szCs w:val="28"/>
          <w:lang w:val="en-US"/>
        </w:rPr>
        <w:t>or instance</w:t>
      </w:r>
      <w:r>
        <w:rPr>
          <w:rFonts w:ascii="Californian FB" w:eastAsia="Lustria" w:hAnsi="Californian FB" w:cs="Lustria"/>
          <w:color w:val="000000"/>
          <w:sz w:val="28"/>
          <w:szCs w:val="28"/>
          <w:lang w:val="en-US"/>
        </w:rPr>
        <w:t xml:space="preserve">; </w:t>
      </w:r>
    </w:p>
    <w:p w14:paraId="0DA57CB9" w14:textId="2225F579" w:rsidR="00B21EED" w:rsidRPr="00EF4BFF" w:rsidRDefault="005A7BC7" w:rsidP="001B3D58">
      <w:pPr>
        <w:pStyle w:val="ListParagraph"/>
        <w:numPr>
          <w:ilvl w:val="0"/>
          <w:numId w:val="28"/>
        </w:numPr>
        <w:spacing w:before="0" w:after="160" w:line="360" w:lineRule="auto"/>
        <w:rPr>
          <w:rFonts w:ascii="Californian FB" w:eastAsia="Lustria" w:hAnsi="Californian FB" w:cs="Lustria"/>
          <w:i/>
          <w:color w:val="000000"/>
          <w:sz w:val="28"/>
          <w:szCs w:val="28"/>
          <w:lang w:val="en-US"/>
        </w:rPr>
      </w:pPr>
      <w:proofErr w:type="spellStart"/>
      <w:r w:rsidRPr="00EF4BFF">
        <w:rPr>
          <w:rFonts w:ascii="Californian FB" w:eastAsia="Lustria" w:hAnsi="Californian FB" w:cs="Lustria"/>
          <w:i/>
          <w:color w:val="000000"/>
          <w:sz w:val="28"/>
          <w:szCs w:val="28"/>
          <w:lang w:val="en-US"/>
        </w:rPr>
        <w:t>Northumbria’s</w:t>
      </w:r>
      <w:proofErr w:type="spellEnd"/>
      <w:r w:rsidRPr="00EF4BFF">
        <w:rPr>
          <w:rFonts w:ascii="Californian FB" w:eastAsia="Lustria" w:hAnsi="Californian FB" w:cs="Lustria"/>
          <w:i/>
          <w:color w:val="000000"/>
          <w:sz w:val="28"/>
          <w:szCs w:val="28"/>
          <w:lang w:val="en-US"/>
        </w:rPr>
        <w:t xml:space="preserve"> Graduate Futures </w:t>
      </w:r>
      <w:proofErr w:type="gramStart"/>
      <w:r w:rsidRPr="00EF4BFF">
        <w:rPr>
          <w:rFonts w:ascii="Californian FB" w:eastAsia="Lustria" w:hAnsi="Californian FB" w:cs="Lustria"/>
          <w:i/>
          <w:color w:val="000000"/>
          <w:sz w:val="28"/>
          <w:szCs w:val="28"/>
          <w:lang w:val="en-US"/>
        </w:rPr>
        <w:t>team,</w:t>
      </w:r>
      <w:proofErr w:type="gramEnd"/>
      <w:r w:rsidRPr="00EF4BFF">
        <w:rPr>
          <w:rFonts w:ascii="Californian FB" w:eastAsia="Lustria" w:hAnsi="Californian FB" w:cs="Lustria"/>
          <w:i/>
          <w:color w:val="000000"/>
          <w:sz w:val="28"/>
          <w:szCs w:val="28"/>
          <w:lang w:val="en-US"/>
        </w:rPr>
        <w:t xml:space="preserve"> cites “extensive engagement with employers” as part of their employability strategy. Such qualitative feedback, </w:t>
      </w:r>
      <w:r w:rsidR="00793E8E" w:rsidRPr="00EF4BFF">
        <w:rPr>
          <w:rFonts w:ascii="Californian FB" w:eastAsia="Lustria" w:hAnsi="Californian FB" w:cs="Lustria"/>
          <w:i/>
          <w:color w:val="000000"/>
          <w:sz w:val="28"/>
          <w:szCs w:val="28"/>
          <w:lang w:val="en-US"/>
        </w:rPr>
        <w:t>although</w:t>
      </w:r>
      <w:r w:rsidRPr="00EF4BFF">
        <w:rPr>
          <w:rFonts w:ascii="Californian FB" w:eastAsia="Lustria" w:hAnsi="Californian FB" w:cs="Lustria"/>
          <w:i/>
          <w:color w:val="000000"/>
          <w:sz w:val="28"/>
          <w:szCs w:val="28"/>
          <w:lang w:val="en-US"/>
        </w:rPr>
        <w:t xml:space="preserve"> not captured in formal metrics, help inform career servicing and curriculum design.</w:t>
      </w:r>
    </w:p>
    <w:p w14:paraId="2DDBB2ED" w14:textId="7DF41599" w:rsidR="00793E8E" w:rsidRPr="00EF4BFF" w:rsidRDefault="00793E8E" w:rsidP="001B3D58">
      <w:pPr>
        <w:pStyle w:val="ListParagraph"/>
        <w:numPr>
          <w:ilvl w:val="0"/>
          <w:numId w:val="28"/>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 xml:space="preserve">Liverpool John </w:t>
      </w:r>
      <w:proofErr w:type="spellStart"/>
      <w:r w:rsidRPr="00EF4BFF">
        <w:rPr>
          <w:rFonts w:ascii="Californian FB" w:eastAsia="Lustria" w:hAnsi="Californian FB" w:cs="Lustria"/>
          <w:i/>
          <w:color w:val="000000"/>
          <w:sz w:val="28"/>
          <w:szCs w:val="28"/>
          <w:lang w:val="en-US"/>
        </w:rPr>
        <w:t>Moores</w:t>
      </w:r>
      <w:proofErr w:type="spellEnd"/>
      <w:r w:rsidRPr="00EF4BFF">
        <w:rPr>
          <w:rFonts w:ascii="Californian FB" w:eastAsia="Lustria" w:hAnsi="Californian FB" w:cs="Lustria"/>
          <w:i/>
          <w:color w:val="000000"/>
          <w:sz w:val="28"/>
          <w:szCs w:val="28"/>
          <w:lang w:val="en-US"/>
        </w:rPr>
        <w:t xml:space="preserve"> University – Employer Embedded Projects where students engage in live employer briefs as part of their coursework. Employers co-mark student projects and provide mentoring, which bridges the gap between theory and practice.</w:t>
      </w:r>
    </w:p>
    <w:p w14:paraId="1BDDD615" w14:textId="60D217BA" w:rsidR="00793E8E" w:rsidRPr="00EF4BFF" w:rsidRDefault="00793E8E" w:rsidP="001B3D58">
      <w:pPr>
        <w:pStyle w:val="ListParagraph"/>
        <w:numPr>
          <w:ilvl w:val="0"/>
          <w:numId w:val="28"/>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 xml:space="preserve">Anglia Ruskin University – Industry-Government Partnership in </w:t>
      </w:r>
      <w:proofErr w:type="spellStart"/>
      <w:r w:rsidRPr="00EF4BFF">
        <w:rPr>
          <w:rFonts w:ascii="Californian FB" w:eastAsia="Lustria" w:hAnsi="Californian FB" w:cs="Lustria"/>
          <w:i/>
          <w:color w:val="000000"/>
          <w:sz w:val="28"/>
          <w:szCs w:val="28"/>
          <w:lang w:val="en-US"/>
        </w:rPr>
        <w:t>Peterborough</w:t>
      </w:r>
      <w:proofErr w:type="gramStart"/>
      <w:r w:rsidRPr="00EF4BFF">
        <w:rPr>
          <w:rFonts w:ascii="Californian FB" w:eastAsia="Lustria" w:hAnsi="Californian FB" w:cs="Lustria"/>
          <w:i/>
          <w:color w:val="000000"/>
          <w:sz w:val="28"/>
          <w:szCs w:val="28"/>
          <w:lang w:val="en-US"/>
        </w:rPr>
        <w:t>,where</w:t>
      </w:r>
      <w:proofErr w:type="spellEnd"/>
      <w:proofErr w:type="gramEnd"/>
      <w:r w:rsidRPr="00EF4BFF">
        <w:rPr>
          <w:rFonts w:ascii="Californian FB" w:eastAsia="Lustria" w:hAnsi="Californian FB" w:cs="Lustria"/>
          <w:i/>
          <w:color w:val="000000"/>
          <w:sz w:val="28"/>
          <w:szCs w:val="28"/>
          <w:lang w:val="en-US"/>
        </w:rPr>
        <w:t xml:space="preserve"> curriculum and delivery models are co-created with local employers and councils to meet regional </w:t>
      </w:r>
      <w:proofErr w:type="spellStart"/>
      <w:r w:rsidRPr="00EF4BFF">
        <w:rPr>
          <w:rFonts w:ascii="Californian FB" w:eastAsia="Lustria" w:hAnsi="Californian FB" w:cs="Lustria"/>
          <w:i/>
          <w:color w:val="000000"/>
          <w:sz w:val="28"/>
          <w:szCs w:val="28"/>
          <w:lang w:val="en-US"/>
        </w:rPr>
        <w:t>labour</w:t>
      </w:r>
      <w:proofErr w:type="spellEnd"/>
      <w:r w:rsidRPr="00EF4BFF">
        <w:rPr>
          <w:rFonts w:ascii="Californian FB" w:eastAsia="Lustria" w:hAnsi="Californian FB" w:cs="Lustria"/>
          <w:i/>
          <w:color w:val="000000"/>
          <w:sz w:val="28"/>
          <w:szCs w:val="28"/>
          <w:lang w:val="en-US"/>
        </w:rPr>
        <w:t xml:space="preserve"> needs.</w:t>
      </w:r>
    </w:p>
    <w:p w14:paraId="205667E0" w14:textId="77777777" w:rsidR="00793E8E" w:rsidRPr="00793E8E" w:rsidRDefault="00793E8E" w:rsidP="001B3D58">
      <w:pPr>
        <w:pStyle w:val="ListParagraph"/>
        <w:spacing w:before="0" w:after="160" w:line="360" w:lineRule="auto"/>
        <w:ind w:left="1800"/>
        <w:rPr>
          <w:rFonts w:ascii="Californian FB" w:eastAsia="Lustria" w:hAnsi="Californian FB" w:cs="Lustria"/>
          <w:color w:val="000000"/>
          <w:sz w:val="28"/>
          <w:szCs w:val="28"/>
          <w:lang w:val="en-US"/>
        </w:rPr>
      </w:pPr>
    </w:p>
    <w:p w14:paraId="5F502F24" w14:textId="77777777" w:rsidR="00B21EED" w:rsidRPr="00B21EED" w:rsidRDefault="00B21EED" w:rsidP="001B3D58">
      <w:pPr>
        <w:pStyle w:val="ListParagraph"/>
        <w:spacing w:line="360" w:lineRule="auto"/>
        <w:rPr>
          <w:rFonts w:ascii="Californian FB" w:eastAsia="Lustria" w:hAnsi="Californian FB" w:cs="Lustria"/>
          <w:b/>
          <w:color w:val="000000"/>
          <w:sz w:val="28"/>
          <w:szCs w:val="28"/>
          <w:lang w:val="en-US"/>
        </w:rPr>
      </w:pPr>
    </w:p>
    <w:p w14:paraId="62F2F269" w14:textId="77777777" w:rsidR="0090256D" w:rsidRDefault="001E7D27" w:rsidP="001B3D58">
      <w:pPr>
        <w:pStyle w:val="ListParagraph"/>
        <w:numPr>
          <w:ilvl w:val="0"/>
          <w:numId w:val="20"/>
        </w:numPr>
        <w:spacing w:before="0" w:after="160" w:line="360" w:lineRule="auto"/>
        <w:rPr>
          <w:rFonts w:ascii="Californian FB" w:eastAsia="Lustria" w:hAnsi="Californian FB" w:cs="Lustria"/>
          <w:color w:val="000000"/>
          <w:sz w:val="28"/>
          <w:szCs w:val="28"/>
          <w:lang w:val="en-US"/>
        </w:rPr>
      </w:pPr>
      <w:r w:rsidRPr="00B21EED">
        <w:rPr>
          <w:rFonts w:ascii="Californian FB" w:eastAsia="Lustria" w:hAnsi="Californian FB" w:cs="Lustria"/>
          <w:b/>
          <w:color w:val="000000"/>
          <w:sz w:val="28"/>
          <w:szCs w:val="28"/>
          <w:lang w:val="en-US"/>
        </w:rPr>
        <w:lastRenderedPageBreak/>
        <w:t>Employ</w:t>
      </w:r>
      <w:r w:rsidR="00B21EED">
        <w:rPr>
          <w:rFonts w:ascii="Californian FB" w:eastAsia="Lustria" w:hAnsi="Californian FB" w:cs="Lustria"/>
          <w:b/>
          <w:color w:val="000000"/>
          <w:sz w:val="28"/>
          <w:szCs w:val="28"/>
          <w:lang w:val="en-US"/>
        </w:rPr>
        <w:t xml:space="preserve">ability </w:t>
      </w:r>
      <w:proofErr w:type="spellStart"/>
      <w:r w:rsidR="00B21EED">
        <w:rPr>
          <w:rFonts w:ascii="Californian FB" w:eastAsia="Lustria" w:hAnsi="Californian FB" w:cs="Lustria"/>
          <w:b/>
          <w:color w:val="000000"/>
          <w:sz w:val="28"/>
          <w:szCs w:val="28"/>
          <w:lang w:val="en-US"/>
        </w:rPr>
        <w:t>Healthcheck</w:t>
      </w:r>
      <w:proofErr w:type="spellEnd"/>
      <w:r w:rsidR="00B21EED">
        <w:rPr>
          <w:rFonts w:ascii="Californian FB" w:eastAsia="Lustria" w:hAnsi="Californian FB" w:cs="Lustria"/>
          <w:b/>
          <w:color w:val="000000"/>
          <w:sz w:val="28"/>
          <w:szCs w:val="28"/>
          <w:lang w:val="en-US"/>
        </w:rPr>
        <w:t xml:space="preserve"> Model (EHM</w:t>
      </w:r>
      <w:proofErr w:type="gramStart"/>
      <w:r w:rsidR="00B21EED">
        <w:rPr>
          <w:rFonts w:ascii="Californian FB" w:eastAsia="Lustria" w:hAnsi="Californian FB" w:cs="Lustria"/>
          <w:b/>
          <w:color w:val="000000"/>
          <w:sz w:val="28"/>
          <w:szCs w:val="28"/>
          <w:lang w:val="en-US"/>
        </w:rPr>
        <w:t>)-</w:t>
      </w:r>
      <w:proofErr w:type="gramEnd"/>
      <w:r w:rsidR="0090256D" w:rsidRPr="0090256D">
        <w:rPr>
          <w:rFonts w:ascii="Californian FB" w:eastAsia="Lustria" w:hAnsi="Californian FB" w:cs="Lustria"/>
          <w:color w:val="000000"/>
          <w:sz w:val="28"/>
          <w:szCs w:val="28"/>
          <w:lang w:val="en-US"/>
        </w:rPr>
        <w:t xml:space="preserve">   </w:t>
      </w:r>
      <w:proofErr w:type="spellStart"/>
      <w:r w:rsidR="0090256D" w:rsidRPr="0090256D">
        <w:rPr>
          <w:rFonts w:ascii="Californian FB" w:eastAsia="Lustria" w:hAnsi="Californian FB" w:cs="Lustria"/>
          <w:color w:val="000000"/>
          <w:sz w:val="28"/>
          <w:szCs w:val="28"/>
          <w:lang w:val="en-US"/>
        </w:rPr>
        <w:t>Gradcore’s</w:t>
      </w:r>
      <w:proofErr w:type="spellEnd"/>
      <w:r w:rsidR="0090256D" w:rsidRPr="0090256D">
        <w:rPr>
          <w:rFonts w:ascii="Californian FB" w:eastAsia="Lustria" w:hAnsi="Californian FB" w:cs="Lustria"/>
          <w:color w:val="000000"/>
          <w:sz w:val="28"/>
          <w:szCs w:val="28"/>
          <w:lang w:val="en-US"/>
        </w:rPr>
        <w:t xml:space="preserve"> Employability </w:t>
      </w:r>
      <w:proofErr w:type="spellStart"/>
      <w:r w:rsidR="0090256D" w:rsidRPr="0090256D">
        <w:rPr>
          <w:rFonts w:ascii="Californian FB" w:eastAsia="Lustria" w:hAnsi="Californian FB" w:cs="Lustria"/>
          <w:color w:val="000000"/>
          <w:sz w:val="28"/>
          <w:szCs w:val="28"/>
          <w:lang w:val="en-US"/>
        </w:rPr>
        <w:t>Healthcheck</w:t>
      </w:r>
      <w:proofErr w:type="spellEnd"/>
      <w:r w:rsidR="0090256D" w:rsidRPr="0090256D">
        <w:rPr>
          <w:rFonts w:ascii="Californian FB" w:eastAsia="Lustria" w:hAnsi="Californian FB" w:cs="Lustria"/>
          <w:color w:val="000000"/>
          <w:sz w:val="28"/>
          <w:szCs w:val="28"/>
          <w:lang w:val="en-US"/>
        </w:rPr>
        <w:t xml:space="preserve"> provides a holistic view of institutional performance in preparing graduates.</w:t>
      </w:r>
    </w:p>
    <w:p w14:paraId="4F086D9D" w14:textId="77777777" w:rsidR="0090256D" w:rsidRPr="0090256D" w:rsidRDefault="0090256D" w:rsidP="001B3D58">
      <w:pPr>
        <w:pStyle w:val="ListParagraph"/>
        <w:spacing w:before="0" w:after="160" w:line="360" w:lineRule="auto"/>
        <w:ind w:left="1080"/>
        <w:rPr>
          <w:rFonts w:ascii="Californian FB" w:eastAsia="Lustria" w:hAnsi="Californian FB" w:cs="Lustria"/>
          <w:color w:val="000000"/>
          <w:sz w:val="28"/>
          <w:szCs w:val="28"/>
          <w:lang w:val="en-US"/>
        </w:rPr>
      </w:pPr>
    </w:p>
    <w:p w14:paraId="2A37499F" w14:textId="4AAAB464" w:rsidR="003E36FE" w:rsidRPr="0090256D" w:rsidRDefault="001E7D27" w:rsidP="001B3D58">
      <w:pPr>
        <w:pStyle w:val="ListParagraph"/>
        <w:numPr>
          <w:ilvl w:val="0"/>
          <w:numId w:val="20"/>
        </w:numPr>
        <w:spacing w:before="0" w:after="160" w:line="360" w:lineRule="auto"/>
        <w:rPr>
          <w:rFonts w:ascii="Californian FB" w:eastAsia="Lustria" w:hAnsi="Californian FB" w:cs="Lustria"/>
          <w:color w:val="000000"/>
          <w:sz w:val="28"/>
          <w:szCs w:val="28"/>
          <w:lang w:val="en-US"/>
        </w:rPr>
      </w:pPr>
      <w:r w:rsidRPr="00B21EED">
        <w:rPr>
          <w:rFonts w:ascii="Californian FB" w:eastAsia="Lustria" w:hAnsi="Californian FB" w:cs="Lustria"/>
          <w:b/>
          <w:color w:val="000000"/>
          <w:sz w:val="28"/>
          <w:szCs w:val="28"/>
          <w:lang w:val="en-US"/>
        </w:rPr>
        <w:t>Curriculum-em</w:t>
      </w:r>
      <w:r w:rsidR="00B21EED">
        <w:rPr>
          <w:rFonts w:ascii="Californian FB" w:eastAsia="Lustria" w:hAnsi="Californian FB" w:cs="Lustria"/>
          <w:b/>
          <w:color w:val="000000"/>
          <w:sz w:val="28"/>
          <w:szCs w:val="28"/>
          <w:lang w:val="en-US"/>
        </w:rPr>
        <w:t>bedded employability activities-</w:t>
      </w:r>
      <w:r w:rsidR="00B21EED">
        <w:rPr>
          <w:rFonts w:ascii="Californian FB" w:eastAsia="Lustria" w:hAnsi="Californian FB" w:cs="Lustria"/>
          <w:color w:val="000000"/>
          <w:sz w:val="28"/>
          <w:szCs w:val="28"/>
          <w:lang w:val="en-US"/>
        </w:rPr>
        <w:t xml:space="preserve"> </w:t>
      </w:r>
      <w:r w:rsidR="0090256D">
        <w:rPr>
          <w:rFonts w:ascii="Californian FB" w:eastAsia="Lustria" w:hAnsi="Californian FB" w:cs="Lustria"/>
          <w:color w:val="000000"/>
          <w:sz w:val="28"/>
          <w:szCs w:val="28"/>
          <w:lang w:val="en-US"/>
        </w:rPr>
        <w:t xml:space="preserve">the use and </w:t>
      </w:r>
      <w:r w:rsidR="00B21EED">
        <w:rPr>
          <w:rFonts w:ascii="Californian FB" w:eastAsia="Lustria" w:hAnsi="Californian FB" w:cs="Lustria"/>
          <w:color w:val="000000"/>
          <w:sz w:val="28"/>
          <w:szCs w:val="28"/>
          <w:lang w:val="en-US"/>
        </w:rPr>
        <w:t>i</w:t>
      </w:r>
      <w:r w:rsidRPr="00B21EED">
        <w:rPr>
          <w:rFonts w:ascii="Californian FB" w:eastAsia="Lustria" w:hAnsi="Californian FB" w:cs="Lustria"/>
          <w:color w:val="000000"/>
          <w:sz w:val="28"/>
          <w:szCs w:val="28"/>
          <w:lang w:val="en-US"/>
        </w:rPr>
        <w:t>n</w:t>
      </w:r>
      <w:r w:rsidR="0090256D">
        <w:rPr>
          <w:rFonts w:ascii="Californian FB" w:eastAsia="Lustria" w:hAnsi="Californian FB" w:cs="Lustria"/>
          <w:color w:val="000000"/>
          <w:sz w:val="28"/>
          <w:szCs w:val="28"/>
          <w:lang w:val="en-US"/>
        </w:rPr>
        <w:t xml:space="preserve">tegrating employability skills </w:t>
      </w:r>
      <w:r w:rsidRPr="00B21EED">
        <w:rPr>
          <w:rFonts w:ascii="Californian FB" w:eastAsia="Lustria" w:hAnsi="Californian FB" w:cs="Lustria"/>
          <w:color w:val="000000"/>
          <w:sz w:val="28"/>
          <w:szCs w:val="28"/>
          <w:lang w:val="en-US"/>
        </w:rPr>
        <w:t>directly into credit-bearing modules For exampl</w:t>
      </w:r>
      <w:r w:rsidR="003E36FE">
        <w:rPr>
          <w:rFonts w:ascii="Californian FB" w:eastAsia="Lustria" w:hAnsi="Californian FB" w:cs="Lustria"/>
          <w:color w:val="000000"/>
          <w:sz w:val="28"/>
          <w:szCs w:val="28"/>
          <w:lang w:val="en-US"/>
        </w:rPr>
        <w:t xml:space="preserve">e; </w:t>
      </w:r>
    </w:p>
    <w:p w14:paraId="47FDE692" w14:textId="13185575" w:rsidR="001E7D27" w:rsidRPr="00EF4BFF" w:rsidRDefault="00B21EED" w:rsidP="001B3D58">
      <w:pPr>
        <w:pStyle w:val="ListParagraph"/>
        <w:numPr>
          <w:ilvl w:val="0"/>
          <w:numId w:val="27"/>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Glasgow University’s ERASMUS &amp;</w:t>
      </w:r>
      <w:r w:rsidR="001E7D27" w:rsidRPr="00EF4BFF">
        <w:rPr>
          <w:rFonts w:ascii="Californian FB" w:eastAsia="Lustria" w:hAnsi="Californian FB" w:cs="Lustria"/>
          <w:i/>
          <w:color w:val="000000"/>
          <w:sz w:val="28"/>
          <w:szCs w:val="28"/>
          <w:lang w:val="en-US"/>
        </w:rPr>
        <w:t xml:space="preserve"> Employability in </w:t>
      </w:r>
      <w:proofErr w:type="spellStart"/>
      <w:r w:rsidR="001E7D27" w:rsidRPr="00EF4BFF">
        <w:rPr>
          <w:rFonts w:ascii="Californian FB" w:eastAsia="Lustria" w:hAnsi="Californian FB" w:cs="Lustria"/>
          <w:i/>
          <w:color w:val="000000"/>
          <w:sz w:val="28"/>
          <w:szCs w:val="28"/>
          <w:lang w:val="en-US"/>
        </w:rPr>
        <w:t>Programme</w:t>
      </w:r>
      <w:proofErr w:type="spellEnd"/>
      <w:r w:rsidR="001E7D27" w:rsidRPr="00EF4BFF">
        <w:rPr>
          <w:rFonts w:ascii="Californian FB" w:eastAsia="Lustria" w:hAnsi="Californian FB" w:cs="Lustria"/>
          <w:i/>
          <w:color w:val="000000"/>
          <w:sz w:val="28"/>
          <w:szCs w:val="28"/>
          <w:lang w:val="en-US"/>
        </w:rPr>
        <w:t xml:space="preserve"> Development project emphasizes embedding employability activities within core teaching</w:t>
      </w:r>
      <w:bookmarkStart w:id="1" w:name="fnref3"/>
      <w:bookmarkEnd w:id="1"/>
      <w:r w:rsidR="003E36FE" w:rsidRPr="00EF4BFF">
        <w:rPr>
          <w:rFonts w:ascii="Californian FB" w:eastAsia="Lustria" w:hAnsi="Californian FB" w:cs="Lustria"/>
          <w:i/>
          <w:color w:val="000000"/>
          <w:sz w:val="28"/>
          <w:szCs w:val="28"/>
          <w:vertAlign w:val="superscript"/>
          <w:lang w:val="en-US"/>
        </w:rPr>
        <w:t>.</w:t>
      </w:r>
    </w:p>
    <w:p w14:paraId="17463E7D" w14:textId="619EE36F" w:rsidR="003E36FE" w:rsidRPr="00EF4BFF" w:rsidRDefault="003E36FE" w:rsidP="001B3D58">
      <w:pPr>
        <w:pStyle w:val="ListParagraph"/>
        <w:numPr>
          <w:ilvl w:val="0"/>
          <w:numId w:val="27"/>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University of Birmingham – Using LEO Data for Strategic Curriculum Design-Birmingham launched the Curriculum 2025 initiative, where LEO data informs curriculum reform by identifying high-earning sectors and aligning degree programmes to these industries.</w:t>
      </w:r>
    </w:p>
    <w:p w14:paraId="2BF4A8E2" w14:textId="77777777" w:rsidR="003E36FE" w:rsidRPr="00EF4BFF" w:rsidRDefault="003E36FE" w:rsidP="001B3D58">
      <w:pPr>
        <w:pStyle w:val="ListParagraph"/>
        <w:numPr>
          <w:ilvl w:val="0"/>
          <w:numId w:val="27"/>
        </w:numPr>
        <w:spacing w:before="0" w:after="160" w:line="360" w:lineRule="auto"/>
        <w:rPr>
          <w:rFonts w:ascii="Californian FB" w:eastAsia="Lustria" w:hAnsi="Californian FB" w:cs="Lustria"/>
          <w:i/>
          <w:color w:val="000000"/>
          <w:sz w:val="28"/>
          <w:szCs w:val="28"/>
          <w:lang w:val="en-US"/>
        </w:rPr>
      </w:pPr>
      <w:proofErr w:type="spellStart"/>
      <w:r w:rsidRPr="00EF4BFF">
        <w:rPr>
          <w:rFonts w:ascii="Californian FB" w:eastAsia="Lustria" w:hAnsi="Californian FB" w:cs="Lustria"/>
          <w:i/>
          <w:color w:val="000000"/>
          <w:sz w:val="28"/>
          <w:szCs w:val="28"/>
          <w:lang w:val="en-US"/>
        </w:rPr>
        <w:t>Northumbria</w:t>
      </w:r>
      <w:proofErr w:type="spellEnd"/>
      <w:r w:rsidRPr="00EF4BFF">
        <w:rPr>
          <w:rFonts w:ascii="Californian FB" w:eastAsia="Lustria" w:hAnsi="Californian FB" w:cs="Lustria"/>
          <w:i/>
          <w:color w:val="000000"/>
          <w:sz w:val="28"/>
          <w:szCs w:val="28"/>
          <w:lang w:val="en-US"/>
        </w:rPr>
        <w:t xml:space="preserve"> University – Data-Driven Employability Strategy</w:t>
      </w:r>
    </w:p>
    <w:p w14:paraId="1AD08EE6" w14:textId="77777777" w:rsidR="003E36FE" w:rsidRPr="00EF4BFF" w:rsidRDefault="003E36FE" w:rsidP="001B3D58">
      <w:pPr>
        <w:pStyle w:val="ListParagraph"/>
        <w:spacing w:before="0" w:after="160" w:line="360" w:lineRule="auto"/>
        <w:ind w:left="1860"/>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 xml:space="preserve">Strategy- the Graduate Futures team supports all faculties in </w:t>
      </w:r>
      <w:proofErr w:type="spellStart"/>
      <w:r w:rsidRPr="00EF4BFF">
        <w:rPr>
          <w:rFonts w:ascii="Californian FB" w:eastAsia="Lustria" w:hAnsi="Californian FB" w:cs="Lustria"/>
          <w:i/>
          <w:color w:val="000000"/>
          <w:sz w:val="28"/>
          <w:szCs w:val="28"/>
          <w:lang w:val="en-US"/>
        </w:rPr>
        <w:t>analysing</w:t>
      </w:r>
      <w:proofErr w:type="spellEnd"/>
      <w:r w:rsidRPr="00EF4BFF">
        <w:rPr>
          <w:rFonts w:ascii="Californian FB" w:eastAsia="Lustria" w:hAnsi="Californian FB" w:cs="Lustria"/>
          <w:i/>
          <w:color w:val="000000"/>
          <w:sz w:val="28"/>
          <w:szCs w:val="28"/>
          <w:lang w:val="en-US"/>
        </w:rPr>
        <w:t xml:space="preserve"> Graduate Outcomes and LEO data. It also helps academics interpret insights and adjust curriculum or support services.</w:t>
      </w:r>
    </w:p>
    <w:p w14:paraId="37D0E1F1" w14:textId="17463776" w:rsidR="003E36FE" w:rsidRPr="00EF4BFF" w:rsidRDefault="003E36FE" w:rsidP="001B3D58">
      <w:pPr>
        <w:pStyle w:val="ListParagraph"/>
        <w:numPr>
          <w:ilvl w:val="0"/>
          <w:numId w:val="27"/>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University of Manchester – Curriculum Integration of Graduate Outcomes- Each faculty reviews Graduate Outcomes data during its annual curriculum performance review. Departments with lower employability scores must create action plans (e.g., skills workshops or internships).</w:t>
      </w:r>
    </w:p>
    <w:p w14:paraId="71745259" w14:textId="63BE2DA2" w:rsidR="00793E8E" w:rsidRPr="00EF4BFF" w:rsidRDefault="00793E8E" w:rsidP="001B3D58">
      <w:pPr>
        <w:pStyle w:val="ListParagraph"/>
        <w:numPr>
          <w:ilvl w:val="0"/>
          <w:numId w:val="27"/>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t>University College London (UCL) – Connected Curriculum- through its Connected Curriculum framework, UCL ensures all students participate in research-based education with career-oriented outputs (e.g., community impact projects, data briefs for real clients).</w:t>
      </w:r>
    </w:p>
    <w:p w14:paraId="72F0E556" w14:textId="33F48956" w:rsidR="005A7BC7" w:rsidRDefault="00793E8E" w:rsidP="001B3D58">
      <w:pPr>
        <w:pStyle w:val="ListParagraph"/>
        <w:numPr>
          <w:ilvl w:val="0"/>
          <w:numId w:val="27"/>
        </w:numPr>
        <w:spacing w:before="0" w:after="160" w:line="360" w:lineRule="auto"/>
        <w:rPr>
          <w:rFonts w:ascii="Californian FB" w:eastAsia="Lustria" w:hAnsi="Californian FB" w:cs="Lustria"/>
          <w:i/>
          <w:color w:val="000000"/>
          <w:sz w:val="28"/>
          <w:szCs w:val="28"/>
          <w:lang w:val="en-US"/>
        </w:rPr>
      </w:pPr>
      <w:r w:rsidRPr="00EF4BFF">
        <w:rPr>
          <w:rFonts w:ascii="Californian FB" w:eastAsia="Lustria" w:hAnsi="Californian FB" w:cs="Lustria"/>
          <w:i/>
          <w:color w:val="000000"/>
          <w:sz w:val="28"/>
          <w:szCs w:val="28"/>
          <w:lang w:val="en-US"/>
        </w:rPr>
        <w:lastRenderedPageBreak/>
        <w:t xml:space="preserve">University of Warwick – Career Skills Accreditation- the Warwick Skills Portfolio Award </w:t>
      </w:r>
      <w:proofErr w:type="spellStart"/>
      <w:r w:rsidRPr="00EF4BFF">
        <w:rPr>
          <w:rFonts w:ascii="Californian FB" w:eastAsia="Lustria" w:hAnsi="Californian FB" w:cs="Lustria"/>
          <w:i/>
          <w:color w:val="000000"/>
          <w:sz w:val="28"/>
          <w:szCs w:val="28"/>
          <w:lang w:val="en-US"/>
        </w:rPr>
        <w:t>recognises</w:t>
      </w:r>
      <w:proofErr w:type="spellEnd"/>
      <w:r w:rsidRPr="00EF4BFF">
        <w:rPr>
          <w:rFonts w:ascii="Californian FB" w:eastAsia="Lustria" w:hAnsi="Californian FB" w:cs="Lustria"/>
          <w:i/>
          <w:color w:val="000000"/>
          <w:sz w:val="28"/>
          <w:szCs w:val="28"/>
          <w:lang w:val="en-US"/>
        </w:rPr>
        <w:t xml:space="preserve"> non-academic achievements linked to career development, such as leadership, communication, and global awareness.</w:t>
      </w:r>
    </w:p>
    <w:p w14:paraId="474580A8" w14:textId="77777777" w:rsidR="00A03CB3" w:rsidRPr="00A03CB3" w:rsidRDefault="00A03CB3" w:rsidP="00A03CB3">
      <w:pPr>
        <w:pStyle w:val="ListParagraph"/>
        <w:spacing w:before="0" w:after="160" w:line="360" w:lineRule="auto"/>
        <w:ind w:left="1860"/>
        <w:rPr>
          <w:rFonts w:ascii="Californian FB" w:eastAsia="Lustria" w:hAnsi="Californian FB" w:cs="Lustria"/>
          <w:i/>
          <w:color w:val="000000"/>
          <w:sz w:val="28"/>
          <w:szCs w:val="28"/>
          <w:lang w:val="en-US"/>
        </w:rPr>
      </w:pPr>
    </w:p>
    <w:p w14:paraId="684FF37B" w14:textId="1B921278" w:rsidR="00E65F69" w:rsidRPr="008468FB" w:rsidRDefault="00E65F69" w:rsidP="001B3D58">
      <w:pPr>
        <w:pStyle w:val="ListParagraph"/>
        <w:numPr>
          <w:ilvl w:val="0"/>
          <w:numId w:val="14"/>
        </w:numPr>
        <w:spacing w:before="0" w:after="160" w:line="360" w:lineRule="auto"/>
        <w:rPr>
          <w:rFonts w:ascii="Californian FB" w:eastAsia="Lustria" w:hAnsi="Californian FB" w:cs="Lustria"/>
          <w:b/>
          <w:color w:val="000000"/>
          <w:sz w:val="28"/>
          <w:szCs w:val="28"/>
        </w:rPr>
      </w:pPr>
      <w:r w:rsidRPr="008468FB">
        <w:rPr>
          <w:rFonts w:ascii="Californian FB" w:eastAsia="Lustria" w:hAnsi="Californian FB" w:cs="Lustria"/>
          <w:b/>
          <w:color w:val="000000"/>
          <w:sz w:val="28"/>
          <w:szCs w:val="28"/>
        </w:rPr>
        <w:t>Topical initiatives and portals; learning outcomes.</w:t>
      </w:r>
    </w:p>
    <w:p w14:paraId="2F82469B" w14:textId="77777777" w:rsidR="008D1B0D" w:rsidRPr="008D1B0D" w:rsidRDefault="008D1B0D" w:rsidP="001B3D58">
      <w:pPr>
        <w:spacing w:after="210" w:line="360" w:lineRule="auto"/>
        <w:ind w:left="720"/>
        <w:rPr>
          <w:rFonts w:ascii="Californian FB" w:hAnsi="Californian FB"/>
          <w:sz w:val="28"/>
          <w:lang w:val="en-BW"/>
        </w:rPr>
      </w:pPr>
      <w:r w:rsidRPr="008D1B0D">
        <w:rPr>
          <w:rFonts w:ascii="Californian FB" w:hAnsi="Californian FB"/>
          <w:sz w:val="28"/>
          <w:lang w:val="en-BW"/>
        </w:rPr>
        <w:t>A key innovation in England’s higher education landscape is the introduction of centralized, public-facing platforms such as Discover</w:t>
      </w:r>
      <w:r w:rsidRPr="008D1B0D">
        <w:rPr>
          <w:sz w:val="28"/>
          <w:lang w:val="en-BW"/>
        </w:rPr>
        <w:t> </w:t>
      </w:r>
      <w:r w:rsidRPr="008D1B0D">
        <w:rPr>
          <w:rFonts w:ascii="Californian FB" w:hAnsi="Californian FB"/>
          <w:sz w:val="28"/>
          <w:lang w:val="en-BW"/>
        </w:rPr>
        <w:t>Uni, which aggregate and present graduate outcomes data in a user-friendly format. Since its launch in 2019, Discover</w:t>
      </w:r>
      <w:r w:rsidRPr="008D1B0D">
        <w:rPr>
          <w:sz w:val="28"/>
          <w:lang w:val="en-BW"/>
        </w:rPr>
        <w:t> </w:t>
      </w:r>
      <w:r w:rsidRPr="008D1B0D">
        <w:rPr>
          <w:rFonts w:ascii="Californian FB" w:hAnsi="Californian FB"/>
          <w:sz w:val="28"/>
          <w:lang w:val="en-BW"/>
        </w:rPr>
        <w:t>Uni has empowered prospective students with comparative insights into course-level employment rates at 15 months, 3 years, and 5 years post-graduation, average earnings, job types, course satisfaction, and qualitative metrics such as graduates feeling their work is “meaningful” or relevant to their studies.</w:t>
      </w:r>
    </w:p>
    <w:p w14:paraId="33DB86DF" w14:textId="77777777" w:rsidR="008D1B0D" w:rsidRPr="008D1B0D" w:rsidRDefault="008D1B0D" w:rsidP="001B3D58">
      <w:pPr>
        <w:spacing w:after="210" w:line="360" w:lineRule="auto"/>
        <w:ind w:left="720"/>
        <w:rPr>
          <w:rFonts w:ascii="Californian FB" w:hAnsi="Californian FB"/>
          <w:sz w:val="28"/>
          <w:lang w:val="en-BW"/>
        </w:rPr>
      </w:pPr>
      <w:r w:rsidRPr="008D1B0D">
        <w:rPr>
          <w:rFonts w:ascii="Californian FB" w:hAnsi="Californian FB"/>
          <w:sz w:val="28"/>
          <w:lang w:val="en-BW"/>
        </w:rPr>
        <w:t>Jisc also offers the Discover Graduate Outcomes dashboards, which universities can subscribe to via Heidi Plus. These dashboards provide dynamic visualisations (comparing nationally, regionally, or within peer groups) of positive outcomes, high-skilled employment, employment sectors, salary bands, self-employment trends, and further study indicator.</w:t>
      </w:r>
    </w:p>
    <w:p w14:paraId="07D1D555" w14:textId="77777777" w:rsidR="008D1B0D" w:rsidRPr="008D1B0D" w:rsidRDefault="008D1B0D" w:rsidP="001B3D58">
      <w:pPr>
        <w:spacing w:after="210" w:line="360" w:lineRule="auto"/>
        <w:ind w:left="720"/>
        <w:rPr>
          <w:rFonts w:ascii="Californian FB" w:hAnsi="Californian FB"/>
          <w:sz w:val="28"/>
          <w:lang w:val="en-BW"/>
        </w:rPr>
      </w:pPr>
      <w:r w:rsidRPr="008D1B0D">
        <w:rPr>
          <w:rFonts w:ascii="Californian FB" w:hAnsi="Californian FB"/>
          <w:sz w:val="28"/>
          <w:lang w:val="en-BW"/>
        </w:rPr>
        <w:t>Another prominent resource is Prospects.ac.uk, which translates national graduate data into actionable career insight by covering detailed career profiles, podcasts, employer Q&amp;A series, and real-life case studies useful for final-year students and graduates exploring job options.</w:t>
      </w:r>
    </w:p>
    <w:p w14:paraId="1F530FD2" w14:textId="68A77964" w:rsidR="008D1B0D" w:rsidRPr="008468FB" w:rsidRDefault="008D1B0D" w:rsidP="001B3D58">
      <w:pPr>
        <w:spacing w:after="210" w:line="360" w:lineRule="auto"/>
        <w:ind w:left="720"/>
        <w:rPr>
          <w:rFonts w:ascii="Californian FB" w:hAnsi="Californian FB"/>
          <w:sz w:val="28"/>
        </w:rPr>
      </w:pPr>
      <w:r w:rsidRPr="008D1B0D">
        <w:rPr>
          <w:rFonts w:ascii="Californian FB" w:hAnsi="Californian FB"/>
          <w:sz w:val="28"/>
        </w:rPr>
        <w:t xml:space="preserve">The following are some of topical initiatives and online portals that have been established in England to support graduate employability. </w:t>
      </w:r>
    </w:p>
    <w:p w14:paraId="2851AC74" w14:textId="32B72541"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lastRenderedPageBreak/>
        <w:t>Graduate Talent Pool</w:t>
      </w:r>
      <w:r w:rsidRPr="008468FB">
        <w:rPr>
          <w:rFonts w:ascii="Californian FB" w:hAnsi="Californian FB"/>
          <w:sz w:val="28"/>
        </w:rPr>
        <w:t> - A platform connecting graduates with employers offering internships and work experience.</w:t>
      </w:r>
    </w:p>
    <w:p w14:paraId="6051AA1E" w14:textId="371CF4F9"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National Careers Service</w:t>
      </w:r>
      <w:r w:rsidRPr="008468FB">
        <w:rPr>
          <w:rFonts w:ascii="Californian FB" w:hAnsi="Californian FB"/>
          <w:sz w:val="28"/>
        </w:rPr>
        <w:t> - Provides information, advice, and guidance on careers and skills development.</w:t>
      </w:r>
    </w:p>
    <w:p w14:paraId="37F821C8" w14:textId="6CEEBD6F"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Enterprise Adviser Network</w:t>
      </w:r>
      <w:r w:rsidRPr="008468FB">
        <w:rPr>
          <w:rFonts w:ascii="Californian FB" w:hAnsi="Californian FB"/>
          <w:sz w:val="28"/>
        </w:rPr>
        <w:t> - Links schools and colleges with business professionals to enhance career education.</w:t>
      </w:r>
    </w:p>
    <w:p w14:paraId="4534CA2D" w14:textId="1DE64862"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Apprenticeship Levy</w:t>
      </w:r>
      <w:r w:rsidRPr="008468FB">
        <w:rPr>
          <w:rFonts w:ascii="Californian FB" w:hAnsi="Californian FB"/>
          <w:sz w:val="28"/>
        </w:rPr>
        <w:t> - Encourages businesses to invest in training and development of new talent.</w:t>
      </w:r>
    </w:p>
    <w:p w14:paraId="153CF5FE" w14:textId="3A970555"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 xml:space="preserve"> Future Skills Programme</w:t>
      </w:r>
      <w:r w:rsidRPr="008468FB">
        <w:rPr>
          <w:rFonts w:ascii="Californian FB" w:hAnsi="Californian FB"/>
          <w:sz w:val="28"/>
        </w:rPr>
        <w:t> - Aims to identify and address skills gaps in the workforce.</w:t>
      </w:r>
    </w:p>
    <w:p w14:paraId="5EB5DC5A" w14:textId="4EB46E9C"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Digital Skills Partnership</w:t>
      </w:r>
      <w:r w:rsidRPr="008468FB">
        <w:rPr>
          <w:rFonts w:ascii="Californian FB" w:hAnsi="Californian FB"/>
          <w:sz w:val="28"/>
        </w:rPr>
        <w:t> - Focuses on improving digital skills among graduates and job seekers.</w:t>
      </w:r>
    </w:p>
    <w:p w14:paraId="01D342B0" w14:textId="77777777" w:rsidR="00B21EED" w:rsidRPr="008468FB"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Career Development Loans</w:t>
      </w:r>
      <w:r w:rsidRPr="008468FB">
        <w:rPr>
          <w:rFonts w:ascii="Californian FB" w:hAnsi="Californian FB"/>
          <w:sz w:val="28"/>
        </w:rPr>
        <w:t> - Financial support for individuals pursuing skills training or education.</w:t>
      </w:r>
    </w:p>
    <w:p w14:paraId="655B38AC" w14:textId="290E471B" w:rsidR="00E65F69" w:rsidRDefault="00B21EED" w:rsidP="001B3D58">
      <w:pPr>
        <w:numPr>
          <w:ilvl w:val="0"/>
          <w:numId w:val="24"/>
        </w:numPr>
        <w:tabs>
          <w:tab w:val="clear" w:pos="720"/>
          <w:tab w:val="num" w:pos="1080"/>
        </w:tabs>
        <w:spacing w:before="0" w:after="210" w:line="360" w:lineRule="auto"/>
        <w:ind w:left="1080"/>
        <w:rPr>
          <w:rFonts w:ascii="Californian FB" w:hAnsi="Californian FB"/>
          <w:sz w:val="28"/>
        </w:rPr>
      </w:pPr>
      <w:r w:rsidRPr="008468FB">
        <w:rPr>
          <w:rFonts w:ascii="Californian FB" w:hAnsi="Californian FB"/>
          <w:b/>
          <w:bCs/>
          <w:sz w:val="28"/>
        </w:rPr>
        <w:t>University Career Fairs</w:t>
      </w:r>
      <w:r w:rsidRPr="008468FB">
        <w:rPr>
          <w:rFonts w:ascii="Californian FB" w:hAnsi="Californian FB"/>
          <w:sz w:val="28"/>
        </w:rPr>
        <w:t> - Events where students can meet potential employers and learn about job opportunities.</w:t>
      </w:r>
    </w:p>
    <w:p w14:paraId="23CAA676" w14:textId="77777777" w:rsidR="00380CB0" w:rsidRPr="00380CB0" w:rsidRDefault="00380CB0" w:rsidP="001B3D58">
      <w:pPr>
        <w:pStyle w:val="NoSpacing"/>
        <w:spacing w:line="360" w:lineRule="auto"/>
      </w:pPr>
    </w:p>
    <w:p w14:paraId="178D5B9C" w14:textId="77777777" w:rsidR="00422810" w:rsidRPr="003B0C0C" w:rsidRDefault="00422810" w:rsidP="001B3D58">
      <w:pPr>
        <w:pStyle w:val="ListParagraph"/>
        <w:numPr>
          <w:ilvl w:val="0"/>
          <w:numId w:val="14"/>
        </w:numPr>
        <w:spacing w:before="0" w:after="160" w:line="360" w:lineRule="auto"/>
        <w:rPr>
          <w:rFonts w:ascii="Californian FB" w:eastAsia="Lustria" w:hAnsi="Californian FB" w:cs="Lustria"/>
          <w:b/>
          <w:bCs/>
          <w:color w:val="000000"/>
          <w:sz w:val="28"/>
          <w:szCs w:val="28"/>
        </w:rPr>
      </w:pPr>
      <w:r w:rsidRPr="003B0C0C">
        <w:rPr>
          <w:rFonts w:ascii="Californian FB" w:eastAsia="Lustria" w:hAnsi="Californian FB" w:cs="Lustria"/>
          <w:b/>
          <w:bCs/>
          <w:color w:val="000000"/>
          <w:sz w:val="28"/>
          <w:szCs w:val="28"/>
        </w:rPr>
        <w:t>Conclusions and recommendations;</w:t>
      </w:r>
    </w:p>
    <w:p w14:paraId="4AA86729" w14:textId="77777777" w:rsidR="00B82D09" w:rsidRDefault="00B82D09" w:rsidP="001B3D58">
      <w:pPr>
        <w:spacing w:before="0" w:after="160" w:line="360" w:lineRule="auto"/>
        <w:ind w:left="720"/>
        <w:rPr>
          <w:rFonts w:ascii="Californian FB" w:eastAsia="Lustria" w:hAnsi="Californian FB" w:cs="Lustria"/>
          <w:color w:val="000000"/>
          <w:sz w:val="28"/>
          <w:szCs w:val="28"/>
        </w:rPr>
      </w:pPr>
      <w:r w:rsidRPr="00B82D09">
        <w:rPr>
          <w:rFonts w:ascii="Californian FB" w:eastAsia="Lustria" w:hAnsi="Californian FB" w:cs="Lustria"/>
          <w:color w:val="000000"/>
          <w:sz w:val="28"/>
          <w:szCs w:val="28"/>
        </w:rPr>
        <w:t xml:space="preserve">England has taken a well-rounded and proactive approach to supporting graduate employability. Rather than relying on </w:t>
      </w:r>
      <w:r>
        <w:rPr>
          <w:rFonts w:ascii="Californian FB" w:eastAsia="Lustria" w:hAnsi="Californian FB" w:cs="Lustria"/>
          <w:color w:val="000000"/>
          <w:sz w:val="28"/>
          <w:szCs w:val="28"/>
        </w:rPr>
        <w:t>a standardised approach</w:t>
      </w:r>
      <w:r w:rsidRPr="00B82D09">
        <w:rPr>
          <w:rFonts w:ascii="Californian FB" w:eastAsia="Lustria" w:hAnsi="Californian FB" w:cs="Lustria"/>
          <w:color w:val="000000"/>
          <w:sz w:val="28"/>
          <w:szCs w:val="28"/>
        </w:rPr>
        <w:t>, the country embraces a variety of strategies designed to give students a strong start in their careers. This includes building strong partnerships between universities and industry, offe</w:t>
      </w:r>
      <w:r>
        <w:rPr>
          <w:rFonts w:ascii="Californian FB" w:eastAsia="Lustria" w:hAnsi="Californian FB" w:cs="Lustria"/>
          <w:color w:val="000000"/>
          <w:sz w:val="28"/>
          <w:szCs w:val="28"/>
        </w:rPr>
        <w:t xml:space="preserve">ring dedicated career services </w:t>
      </w:r>
      <w:r w:rsidRPr="00B82D09">
        <w:rPr>
          <w:rFonts w:ascii="Californian FB" w:eastAsia="Lustria" w:hAnsi="Californian FB" w:cs="Lustria"/>
          <w:color w:val="000000"/>
          <w:sz w:val="28"/>
          <w:szCs w:val="28"/>
        </w:rPr>
        <w:t xml:space="preserve">and encouraging students to gain hands-on work experience </w:t>
      </w:r>
      <w:r>
        <w:rPr>
          <w:rFonts w:ascii="Californian FB" w:eastAsia="Lustria" w:hAnsi="Californian FB" w:cs="Lustria"/>
          <w:color w:val="000000"/>
          <w:sz w:val="28"/>
          <w:szCs w:val="28"/>
        </w:rPr>
        <w:t>during their studies.  M</w:t>
      </w:r>
      <w:r w:rsidRPr="00B82D09">
        <w:rPr>
          <w:rFonts w:ascii="Californian FB" w:eastAsia="Lustria" w:hAnsi="Californian FB" w:cs="Lustria"/>
          <w:color w:val="000000"/>
          <w:sz w:val="28"/>
          <w:szCs w:val="28"/>
        </w:rPr>
        <w:t xml:space="preserve">any universities have introduced creative and practical </w:t>
      </w:r>
      <w:r w:rsidRPr="00B82D09">
        <w:rPr>
          <w:rFonts w:ascii="Californian FB" w:eastAsia="Lustria" w:hAnsi="Californian FB" w:cs="Lustria"/>
          <w:color w:val="000000"/>
          <w:sz w:val="28"/>
          <w:szCs w:val="28"/>
        </w:rPr>
        <w:lastRenderedPageBreak/>
        <w:t>programmes that connect students directly with potential employers. These efforts</w:t>
      </w:r>
      <w:r>
        <w:rPr>
          <w:rFonts w:ascii="Californian FB" w:eastAsia="Lustria" w:hAnsi="Californian FB" w:cs="Lustria"/>
          <w:color w:val="000000"/>
          <w:sz w:val="28"/>
          <w:szCs w:val="28"/>
        </w:rPr>
        <w:t xml:space="preserve"> greatly assist students in</w:t>
      </w:r>
      <w:r w:rsidRPr="00B82D09">
        <w:rPr>
          <w:rFonts w:ascii="Californian FB" w:eastAsia="Lustria" w:hAnsi="Californian FB" w:cs="Lustria"/>
          <w:color w:val="000000"/>
          <w:sz w:val="28"/>
          <w:szCs w:val="28"/>
        </w:rPr>
        <w:t xml:space="preserve"> open</w:t>
      </w:r>
      <w:r>
        <w:rPr>
          <w:rFonts w:ascii="Californian FB" w:eastAsia="Lustria" w:hAnsi="Californian FB" w:cs="Lustria"/>
          <w:color w:val="000000"/>
          <w:sz w:val="28"/>
          <w:szCs w:val="28"/>
        </w:rPr>
        <w:t>ing</w:t>
      </w:r>
      <w:r w:rsidRPr="00B82D09">
        <w:rPr>
          <w:rFonts w:ascii="Californian FB" w:eastAsia="Lustria" w:hAnsi="Californian FB" w:cs="Lustria"/>
          <w:color w:val="000000"/>
          <w:sz w:val="28"/>
          <w:szCs w:val="28"/>
        </w:rPr>
        <w:t xml:space="preserve"> job opportunities</w:t>
      </w:r>
      <w:r>
        <w:rPr>
          <w:rFonts w:ascii="Californian FB" w:eastAsia="Lustria" w:hAnsi="Californian FB" w:cs="Lustria"/>
          <w:color w:val="000000"/>
          <w:sz w:val="28"/>
          <w:szCs w:val="28"/>
        </w:rPr>
        <w:t>,</w:t>
      </w:r>
      <w:r w:rsidRPr="00B82D09">
        <w:rPr>
          <w:rFonts w:ascii="Californian FB" w:eastAsia="Lustria" w:hAnsi="Californian FB" w:cs="Lustria"/>
          <w:color w:val="000000"/>
          <w:sz w:val="28"/>
          <w:szCs w:val="28"/>
        </w:rPr>
        <w:t xml:space="preserve"> build</w:t>
      </w:r>
      <w:r>
        <w:rPr>
          <w:rFonts w:ascii="Californian FB" w:eastAsia="Lustria" w:hAnsi="Californian FB" w:cs="Lustria"/>
          <w:color w:val="000000"/>
          <w:sz w:val="28"/>
          <w:szCs w:val="28"/>
        </w:rPr>
        <w:t>ing</w:t>
      </w:r>
      <w:r w:rsidRPr="00B82D09">
        <w:rPr>
          <w:rFonts w:ascii="Californian FB" w:eastAsia="Lustria" w:hAnsi="Californian FB" w:cs="Lustria"/>
          <w:color w:val="000000"/>
          <w:sz w:val="28"/>
          <w:szCs w:val="28"/>
        </w:rPr>
        <w:t xml:space="preserve"> professional networks </w:t>
      </w:r>
      <w:r>
        <w:rPr>
          <w:rFonts w:ascii="Californian FB" w:eastAsia="Lustria" w:hAnsi="Californian FB" w:cs="Lustria"/>
          <w:color w:val="000000"/>
          <w:sz w:val="28"/>
          <w:szCs w:val="28"/>
        </w:rPr>
        <w:t xml:space="preserve">and </w:t>
      </w:r>
      <w:r w:rsidRPr="00B82D09">
        <w:rPr>
          <w:rFonts w:ascii="Californian FB" w:eastAsia="Lustria" w:hAnsi="Californian FB" w:cs="Lustria"/>
          <w:color w:val="000000"/>
          <w:sz w:val="28"/>
          <w:szCs w:val="28"/>
        </w:rPr>
        <w:t>understand</w:t>
      </w:r>
      <w:r>
        <w:rPr>
          <w:rFonts w:ascii="Californian FB" w:eastAsia="Lustria" w:hAnsi="Californian FB" w:cs="Lustria"/>
          <w:color w:val="000000"/>
          <w:sz w:val="28"/>
          <w:szCs w:val="28"/>
        </w:rPr>
        <w:t>ing</w:t>
      </w:r>
      <w:r w:rsidRPr="00B82D09">
        <w:rPr>
          <w:rFonts w:ascii="Californian FB" w:eastAsia="Lustria" w:hAnsi="Californian FB" w:cs="Lustria"/>
          <w:color w:val="000000"/>
          <w:sz w:val="28"/>
          <w:szCs w:val="28"/>
        </w:rPr>
        <w:t xml:space="preserve"> what the job market expects from them.</w:t>
      </w:r>
    </w:p>
    <w:p w14:paraId="553F30C8" w14:textId="5243CBE5" w:rsidR="00723710" w:rsidRPr="00B82D09" w:rsidRDefault="00723710" w:rsidP="001B3D58">
      <w:pPr>
        <w:spacing w:before="0" w:after="160" w:line="360" w:lineRule="auto"/>
        <w:ind w:left="720"/>
        <w:rPr>
          <w:rFonts w:ascii="Californian FB" w:eastAsia="Lustria" w:hAnsi="Californian FB" w:cs="Lustria"/>
          <w:color w:val="000000"/>
          <w:sz w:val="28"/>
          <w:szCs w:val="28"/>
        </w:rPr>
      </w:pPr>
      <w:r w:rsidRPr="00723710">
        <w:rPr>
          <w:rFonts w:ascii="Californian FB" w:eastAsia="Lustria" w:hAnsi="Californian FB" w:cs="Lustria"/>
          <w:color w:val="000000"/>
          <w:sz w:val="28"/>
          <w:szCs w:val="28"/>
          <w:lang w:val="en-US"/>
        </w:rPr>
        <w:t xml:space="preserve">While current strategies in England have laid a solid foundation for supporting graduate employability, there is room to grow and </w:t>
      </w:r>
      <w:r w:rsidR="00B82D09">
        <w:rPr>
          <w:rFonts w:ascii="Californian FB" w:eastAsia="Lustria" w:hAnsi="Californian FB" w:cs="Lustria"/>
          <w:color w:val="000000"/>
          <w:sz w:val="28"/>
          <w:szCs w:val="28"/>
          <w:lang w:val="en-US"/>
        </w:rPr>
        <w:t>improvement</w:t>
      </w:r>
      <w:r w:rsidRPr="00723710">
        <w:rPr>
          <w:rFonts w:ascii="Californian FB" w:eastAsia="Lustria" w:hAnsi="Californian FB" w:cs="Lustria"/>
          <w:color w:val="000000"/>
          <w:sz w:val="28"/>
          <w:szCs w:val="28"/>
          <w:lang w:val="en-US"/>
        </w:rPr>
        <w:t xml:space="preserve">. </w:t>
      </w:r>
      <w:r w:rsidR="00B82D09">
        <w:rPr>
          <w:rFonts w:ascii="Californian FB" w:eastAsia="Lustria" w:hAnsi="Californian FB" w:cs="Lustria"/>
          <w:color w:val="000000"/>
          <w:sz w:val="28"/>
          <w:szCs w:val="28"/>
          <w:lang w:val="en-US"/>
        </w:rPr>
        <w:t>Therefore, t</w:t>
      </w:r>
      <w:r w:rsidRPr="00723710">
        <w:rPr>
          <w:rFonts w:ascii="Californian FB" w:eastAsia="Lustria" w:hAnsi="Californian FB" w:cs="Lustria"/>
          <w:color w:val="000000"/>
          <w:sz w:val="28"/>
          <w:szCs w:val="28"/>
          <w:lang w:val="en-US"/>
        </w:rPr>
        <w:t>he following recommendations are suggested to further strengthen the existing efforts:</w:t>
      </w:r>
    </w:p>
    <w:p w14:paraId="3CB73F24" w14:textId="7DA1E785" w:rsidR="00B82D09" w:rsidRPr="008D1B0D" w:rsidRDefault="00B82D09" w:rsidP="001B3D58">
      <w:pPr>
        <w:pStyle w:val="ListParagraph"/>
        <w:numPr>
          <w:ilvl w:val="0"/>
          <w:numId w:val="36"/>
        </w:numPr>
        <w:spacing w:before="0" w:after="160" w:line="360" w:lineRule="auto"/>
        <w:rPr>
          <w:rFonts w:ascii="Californian FB" w:eastAsia="Lustria" w:hAnsi="Californian FB" w:cs="Lustria"/>
          <w:color w:val="000000"/>
          <w:sz w:val="28"/>
          <w:szCs w:val="28"/>
          <w:lang w:val="en-US"/>
        </w:rPr>
      </w:pPr>
      <w:r w:rsidRPr="008D1B0D">
        <w:rPr>
          <w:rFonts w:ascii="Californian FB" w:eastAsia="Lustria" w:hAnsi="Californian FB" w:cs="Lustria"/>
          <w:bCs/>
          <w:color w:val="000000"/>
          <w:sz w:val="28"/>
          <w:szCs w:val="28"/>
          <w:lang w:val="en-US"/>
        </w:rPr>
        <w:t xml:space="preserve">Strengthen </w:t>
      </w:r>
      <w:r w:rsidR="00723710" w:rsidRPr="008D1B0D">
        <w:rPr>
          <w:rFonts w:ascii="Californian FB" w:eastAsia="Lustria" w:hAnsi="Californian FB" w:cs="Lustria"/>
          <w:bCs/>
          <w:color w:val="000000"/>
          <w:sz w:val="28"/>
          <w:szCs w:val="28"/>
          <w:lang w:val="en-US"/>
        </w:rPr>
        <w:t>Data Driven Decision Making-</w:t>
      </w:r>
      <w:r w:rsidR="00723710" w:rsidRPr="00B82D09">
        <w:rPr>
          <w:rFonts w:ascii="Californian FB" w:eastAsia="Lustria" w:hAnsi="Californian FB" w:cs="Lustria"/>
          <w:b/>
          <w:bCs/>
          <w:color w:val="000000"/>
          <w:sz w:val="28"/>
          <w:szCs w:val="28"/>
          <w:lang w:val="en-US"/>
        </w:rPr>
        <w:t xml:space="preserve"> </w:t>
      </w:r>
      <w:r w:rsidRPr="00B82D09">
        <w:rPr>
          <w:rFonts w:ascii="Californian FB" w:eastAsia="Lustria" w:hAnsi="Californian FB" w:cs="Lustria"/>
          <w:color w:val="000000"/>
          <w:sz w:val="28"/>
          <w:szCs w:val="28"/>
        </w:rPr>
        <w:t>Universities are encouraged to consistently use data from sources like the Longitudinal Education Outcomes (LEO) and the Graduate Outcomes Survey. These insi</w:t>
      </w:r>
      <w:r w:rsidR="00983D83">
        <w:rPr>
          <w:rFonts w:ascii="Californian FB" w:eastAsia="Lustria" w:hAnsi="Californian FB" w:cs="Lustria"/>
          <w:color w:val="000000"/>
          <w:sz w:val="28"/>
          <w:szCs w:val="28"/>
        </w:rPr>
        <w:t xml:space="preserve">ghts can be incredibly valuable and </w:t>
      </w:r>
      <w:r w:rsidRPr="00B82D09">
        <w:rPr>
          <w:rFonts w:ascii="Californian FB" w:eastAsia="Lustria" w:hAnsi="Californian FB" w:cs="Lustria"/>
          <w:color w:val="000000"/>
          <w:sz w:val="28"/>
          <w:szCs w:val="28"/>
        </w:rPr>
        <w:t>help institutions understand where their graduates are going, what’s working in their programm</w:t>
      </w:r>
      <w:bookmarkStart w:id="2" w:name="_GoBack"/>
      <w:bookmarkEnd w:id="2"/>
      <w:r w:rsidRPr="00B82D09">
        <w:rPr>
          <w:rFonts w:ascii="Californian FB" w:eastAsia="Lustria" w:hAnsi="Californian FB" w:cs="Lustria"/>
          <w:color w:val="000000"/>
          <w:sz w:val="28"/>
          <w:szCs w:val="28"/>
        </w:rPr>
        <w:t xml:space="preserve">es, and where improvements are needed. </w:t>
      </w:r>
    </w:p>
    <w:p w14:paraId="7007EBF1" w14:textId="77777777" w:rsidR="008D1B0D" w:rsidRPr="008D1B0D" w:rsidRDefault="008D1B0D" w:rsidP="001B3D58">
      <w:pPr>
        <w:pStyle w:val="ListParagraph"/>
        <w:numPr>
          <w:ilvl w:val="0"/>
          <w:numId w:val="36"/>
        </w:numPr>
        <w:spacing w:line="360" w:lineRule="auto"/>
        <w:rPr>
          <w:rFonts w:ascii="Californian FB" w:eastAsia="Lustria" w:hAnsi="Californian FB" w:cs="Lustria"/>
          <w:color w:val="000000"/>
          <w:sz w:val="28"/>
          <w:szCs w:val="28"/>
          <w:lang w:val="en-US"/>
        </w:rPr>
      </w:pPr>
      <w:r w:rsidRPr="008D1B0D">
        <w:rPr>
          <w:rFonts w:ascii="Californian FB" w:eastAsia="Lustria" w:hAnsi="Californian FB" w:cs="Lustria"/>
          <w:color w:val="000000"/>
          <w:sz w:val="28"/>
          <w:szCs w:val="28"/>
          <w:lang w:val="en-US"/>
        </w:rPr>
        <w:t>Introduce or Integrate qualitative data on these employability studies, to get a deeper meaning or contexts of the employability findings.</w:t>
      </w:r>
    </w:p>
    <w:p w14:paraId="2D485C7A" w14:textId="5DCEF9D3" w:rsidR="008D1B0D" w:rsidRPr="008D1B0D" w:rsidRDefault="008D1B0D" w:rsidP="001B3D58">
      <w:pPr>
        <w:pStyle w:val="ListParagraph"/>
        <w:numPr>
          <w:ilvl w:val="0"/>
          <w:numId w:val="36"/>
        </w:numPr>
        <w:spacing w:line="360" w:lineRule="auto"/>
        <w:rPr>
          <w:rFonts w:ascii="Californian FB" w:eastAsia="Lustria" w:hAnsi="Californian FB" w:cs="Lustria"/>
          <w:color w:val="000000"/>
          <w:sz w:val="28"/>
          <w:szCs w:val="28"/>
          <w:lang w:val="en-US"/>
        </w:rPr>
      </w:pPr>
      <w:r w:rsidRPr="008D1B0D">
        <w:rPr>
          <w:rFonts w:ascii="Californian FB" w:eastAsia="Lustria" w:hAnsi="Californian FB" w:cs="Lustria"/>
          <w:color w:val="000000"/>
          <w:sz w:val="28"/>
          <w:szCs w:val="28"/>
          <w:lang w:val="en-US"/>
        </w:rPr>
        <w:t>Trainings and capacity building for the University staff on various employability initiatives and systems.</w:t>
      </w:r>
    </w:p>
    <w:p w14:paraId="067A7872" w14:textId="77777777" w:rsidR="005D7D4F" w:rsidRPr="008D1B0D" w:rsidRDefault="00380CB0" w:rsidP="001B3D58">
      <w:pPr>
        <w:pStyle w:val="ListParagraph"/>
        <w:numPr>
          <w:ilvl w:val="0"/>
          <w:numId w:val="36"/>
        </w:numPr>
        <w:spacing w:before="0" w:after="160" w:line="360" w:lineRule="auto"/>
        <w:rPr>
          <w:rFonts w:ascii="Californian FB" w:eastAsia="Lustria" w:hAnsi="Californian FB" w:cs="Lustria"/>
          <w:color w:val="000000"/>
          <w:sz w:val="28"/>
          <w:szCs w:val="28"/>
          <w:lang w:val="en-US"/>
        </w:rPr>
      </w:pPr>
      <w:r w:rsidRPr="008D1B0D">
        <w:rPr>
          <w:rFonts w:ascii="Californian FB" w:eastAsia="Lustria" w:hAnsi="Californian FB" w:cs="Lustria"/>
          <w:bCs/>
          <w:color w:val="000000"/>
          <w:sz w:val="28"/>
          <w:szCs w:val="28"/>
          <w:lang w:val="en-US"/>
        </w:rPr>
        <w:t xml:space="preserve">Embed </w:t>
      </w:r>
      <w:r w:rsidR="00723710" w:rsidRPr="008D1B0D">
        <w:rPr>
          <w:rFonts w:ascii="Californian FB" w:eastAsia="Lustria" w:hAnsi="Californian FB" w:cs="Lustria"/>
          <w:bCs/>
          <w:color w:val="000000"/>
          <w:sz w:val="28"/>
          <w:szCs w:val="28"/>
          <w:lang w:val="en-US"/>
        </w:rPr>
        <w:t xml:space="preserve">Employability into the </w:t>
      </w:r>
      <w:r w:rsidRPr="008D1B0D">
        <w:rPr>
          <w:rFonts w:ascii="Californian FB" w:eastAsia="Lustria" w:hAnsi="Californian FB" w:cs="Lustria"/>
          <w:bCs/>
          <w:color w:val="000000"/>
          <w:sz w:val="28"/>
          <w:szCs w:val="28"/>
          <w:lang w:val="en-US"/>
        </w:rPr>
        <w:t>Curriculum/</w:t>
      </w:r>
      <w:r w:rsidR="00723710" w:rsidRPr="008D1B0D">
        <w:rPr>
          <w:rFonts w:ascii="Californian FB" w:eastAsia="Lustria" w:hAnsi="Californian FB" w:cs="Lustria"/>
          <w:bCs/>
          <w:color w:val="000000"/>
          <w:sz w:val="28"/>
          <w:szCs w:val="28"/>
          <w:lang w:val="en-US"/>
        </w:rPr>
        <w:t>Classroom</w:t>
      </w:r>
      <w:r w:rsidR="00723710" w:rsidRPr="008D1B0D">
        <w:rPr>
          <w:rFonts w:ascii="Californian FB" w:eastAsia="Lustria" w:hAnsi="Californian FB" w:cs="Lustria"/>
          <w:color w:val="000000"/>
          <w:sz w:val="28"/>
          <w:szCs w:val="28"/>
          <w:lang w:val="en-US"/>
        </w:rPr>
        <w:t xml:space="preserve">- </w:t>
      </w:r>
      <w:r w:rsidR="00B82D09" w:rsidRPr="008D1B0D">
        <w:rPr>
          <w:rFonts w:ascii="Californian FB" w:eastAsia="Lustria" w:hAnsi="Californian FB" w:cs="Lustria"/>
          <w:color w:val="000000"/>
          <w:sz w:val="28"/>
          <w:szCs w:val="28"/>
          <w:lang w:val="en-US"/>
        </w:rPr>
        <w:t>By embedding career-related learning directly into academic modules, students gain practical skills alongside their subject knowledge. Models like UCL’s Connected Curriculum and Birmingham’s Curriculum 2025 show how this can be done effectively—ensuring that all students, no matter their field of study, leave university with the tools they need to succeed in the workplace.</w:t>
      </w:r>
    </w:p>
    <w:p w14:paraId="3FC2A1FA" w14:textId="77777777" w:rsidR="005D7D4F" w:rsidRPr="00F961DF" w:rsidRDefault="00723710" w:rsidP="001B3D58">
      <w:pPr>
        <w:pStyle w:val="ListParagraph"/>
        <w:numPr>
          <w:ilvl w:val="0"/>
          <w:numId w:val="36"/>
        </w:numPr>
        <w:spacing w:before="0" w:after="160" w:line="360" w:lineRule="auto"/>
        <w:rPr>
          <w:rFonts w:ascii="Californian FB" w:eastAsia="Lustria" w:hAnsi="Californian FB" w:cs="Lustria"/>
          <w:bCs/>
          <w:color w:val="000000"/>
          <w:sz w:val="28"/>
          <w:szCs w:val="28"/>
        </w:rPr>
      </w:pPr>
      <w:r w:rsidRPr="008D1B0D">
        <w:rPr>
          <w:rFonts w:ascii="Californian FB" w:eastAsia="Lustria" w:hAnsi="Californian FB" w:cs="Lustria"/>
          <w:bCs/>
          <w:color w:val="000000"/>
          <w:sz w:val="28"/>
          <w:szCs w:val="28"/>
          <w:lang w:val="en-US"/>
        </w:rPr>
        <w:lastRenderedPageBreak/>
        <w:t xml:space="preserve">Strengthen Collaboration with </w:t>
      </w:r>
      <w:r w:rsidR="00AD5345" w:rsidRPr="008D1B0D">
        <w:rPr>
          <w:rFonts w:ascii="Californian FB" w:eastAsia="Lustria" w:hAnsi="Californian FB" w:cs="Lustria"/>
          <w:bCs/>
          <w:color w:val="000000"/>
          <w:sz w:val="28"/>
          <w:szCs w:val="28"/>
          <w:lang w:val="en-US"/>
        </w:rPr>
        <w:t xml:space="preserve">Industry/ </w:t>
      </w:r>
      <w:r w:rsidRPr="008D1B0D">
        <w:rPr>
          <w:rFonts w:ascii="Californian FB" w:eastAsia="Lustria" w:hAnsi="Californian FB" w:cs="Lustria"/>
          <w:bCs/>
          <w:color w:val="000000"/>
          <w:sz w:val="28"/>
          <w:szCs w:val="28"/>
          <w:lang w:val="en-US"/>
        </w:rPr>
        <w:t>Employers</w:t>
      </w:r>
      <w:r w:rsidRPr="008D1B0D">
        <w:rPr>
          <w:rFonts w:ascii="Californian FB" w:eastAsia="Lustria" w:hAnsi="Californian FB" w:cs="Lustria"/>
          <w:color w:val="000000"/>
          <w:sz w:val="28"/>
          <w:szCs w:val="28"/>
          <w:lang w:val="en-US"/>
        </w:rPr>
        <w:t xml:space="preserve">- </w:t>
      </w:r>
      <w:r w:rsidR="005D7D4F" w:rsidRPr="008D1B0D">
        <w:rPr>
          <w:rFonts w:ascii="Californian FB" w:eastAsia="Lustria" w:hAnsi="Californian FB" w:cs="Lustria"/>
          <w:color w:val="000000"/>
          <w:sz w:val="28"/>
          <w:szCs w:val="28"/>
        </w:rPr>
        <w:t xml:space="preserve">Building stronger ties between universities and industry is </w:t>
      </w:r>
      <w:proofErr w:type="gramStart"/>
      <w:r w:rsidR="005D7D4F" w:rsidRPr="008D1B0D">
        <w:rPr>
          <w:rFonts w:ascii="Californian FB" w:eastAsia="Lustria" w:hAnsi="Californian FB" w:cs="Lustria"/>
          <w:color w:val="000000"/>
          <w:sz w:val="28"/>
          <w:szCs w:val="28"/>
        </w:rPr>
        <w:t>key</w:t>
      </w:r>
      <w:proofErr w:type="gramEnd"/>
      <w:r w:rsidR="005D7D4F" w:rsidRPr="008D1B0D">
        <w:rPr>
          <w:rFonts w:ascii="Californian FB" w:eastAsia="Lustria" w:hAnsi="Californian FB" w:cs="Lustria"/>
          <w:color w:val="000000"/>
          <w:sz w:val="28"/>
          <w:szCs w:val="28"/>
        </w:rPr>
        <w:t xml:space="preserve">. Initiatives like those at Liverpool John </w:t>
      </w:r>
      <w:proofErr w:type="spellStart"/>
      <w:r w:rsidR="005D7D4F" w:rsidRPr="008D1B0D">
        <w:rPr>
          <w:rFonts w:ascii="Californian FB" w:eastAsia="Lustria" w:hAnsi="Californian FB" w:cs="Lustria"/>
          <w:color w:val="000000"/>
          <w:sz w:val="28"/>
          <w:szCs w:val="28"/>
        </w:rPr>
        <w:t>Moores</w:t>
      </w:r>
      <w:proofErr w:type="spellEnd"/>
      <w:r w:rsidR="005D7D4F" w:rsidRPr="008D1B0D">
        <w:rPr>
          <w:rFonts w:ascii="Californian FB" w:eastAsia="Lustria" w:hAnsi="Californian FB" w:cs="Lustria"/>
          <w:color w:val="000000"/>
          <w:sz w:val="28"/>
          <w:szCs w:val="28"/>
        </w:rPr>
        <w:t xml:space="preserve"> University show how powerful these partnerships can be. They not only enrich student learning but also help graduates feel more confident and prepared for life after university.</w:t>
      </w:r>
    </w:p>
    <w:p w14:paraId="5C119850" w14:textId="77777777" w:rsidR="00BC4478" w:rsidRDefault="00F961DF" w:rsidP="001B3D58">
      <w:pPr>
        <w:pStyle w:val="ListParagraph"/>
        <w:numPr>
          <w:ilvl w:val="0"/>
          <w:numId w:val="36"/>
        </w:numPr>
        <w:spacing w:before="0" w:after="160" w:line="360" w:lineRule="auto"/>
        <w:rPr>
          <w:rFonts w:ascii="Californian FB" w:eastAsia="Lustria" w:hAnsi="Californian FB" w:cs="Lustria"/>
          <w:bCs/>
          <w:color w:val="000000"/>
          <w:sz w:val="28"/>
          <w:szCs w:val="28"/>
        </w:rPr>
      </w:pPr>
      <w:r w:rsidRPr="00F961DF">
        <w:rPr>
          <w:rFonts w:ascii="Californian FB" w:eastAsia="Lustria" w:hAnsi="Californian FB" w:cs="Lustria"/>
          <w:bCs/>
          <w:color w:val="000000"/>
          <w:sz w:val="28"/>
          <w:szCs w:val="28"/>
        </w:rPr>
        <w:t>Accreditation of institutions and accreditation of programmes with professional bodies to enhance em</w:t>
      </w:r>
      <w:r w:rsidR="00BC4478">
        <w:rPr>
          <w:rFonts w:ascii="Californian FB" w:eastAsia="Lustria" w:hAnsi="Californian FB" w:cs="Lustria"/>
          <w:bCs/>
          <w:color w:val="000000"/>
          <w:sz w:val="28"/>
          <w:szCs w:val="28"/>
        </w:rPr>
        <w:t xml:space="preserve">ployability of their students. </w:t>
      </w:r>
    </w:p>
    <w:p w14:paraId="49AC895D" w14:textId="7099D694" w:rsidR="00A03CB3" w:rsidRDefault="00BC4478" w:rsidP="001B3D58">
      <w:pPr>
        <w:pStyle w:val="ListParagraph"/>
        <w:numPr>
          <w:ilvl w:val="0"/>
          <w:numId w:val="36"/>
        </w:numPr>
        <w:spacing w:before="0" w:after="160" w:line="360" w:lineRule="auto"/>
        <w:rPr>
          <w:rFonts w:ascii="Californian FB" w:eastAsia="Lustria" w:hAnsi="Californian FB" w:cs="Lustria"/>
          <w:bCs/>
          <w:color w:val="000000"/>
          <w:sz w:val="28"/>
          <w:szCs w:val="28"/>
        </w:rPr>
      </w:pPr>
      <w:r>
        <w:rPr>
          <w:rFonts w:ascii="Californian FB" w:eastAsia="Lustria" w:hAnsi="Californian FB" w:cs="Lustria"/>
          <w:bCs/>
          <w:color w:val="000000"/>
          <w:sz w:val="28"/>
          <w:szCs w:val="28"/>
        </w:rPr>
        <w:t xml:space="preserve"> Be deliberate about providing</w:t>
      </w:r>
      <w:r w:rsidR="00F961DF" w:rsidRPr="00F961DF">
        <w:rPr>
          <w:rFonts w:ascii="Californian FB" w:eastAsia="Lustria" w:hAnsi="Californian FB" w:cs="Lustria"/>
          <w:bCs/>
          <w:color w:val="000000"/>
          <w:sz w:val="28"/>
          <w:szCs w:val="28"/>
        </w:rPr>
        <w:t xml:space="preserve"> the right environment to prepare students for wo</w:t>
      </w:r>
      <w:r w:rsidR="00A03CB3">
        <w:rPr>
          <w:rFonts w:ascii="Californian FB" w:eastAsia="Lustria" w:hAnsi="Californian FB" w:cs="Lustria"/>
          <w:bCs/>
          <w:color w:val="000000"/>
          <w:sz w:val="28"/>
          <w:szCs w:val="28"/>
        </w:rPr>
        <w:t>rk thought the period of study.</w:t>
      </w:r>
    </w:p>
    <w:p w14:paraId="58C9DA6F" w14:textId="77777777" w:rsidR="00A03CB3" w:rsidRPr="00A03CB3" w:rsidRDefault="00A03CB3" w:rsidP="00A03CB3">
      <w:pPr>
        <w:pStyle w:val="ListParagraph"/>
        <w:spacing w:before="0" w:after="160" w:line="360" w:lineRule="auto"/>
        <w:ind w:left="1440"/>
        <w:rPr>
          <w:rFonts w:ascii="Californian FB" w:eastAsia="Lustria" w:hAnsi="Californian FB" w:cs="Lustria"/>
          <w:bCs/>
          <w:color w:val="000000"/>
          <w:sz w:val="28"/>
          <w:szCs w:val="28"/>
        </w:rPr>
      </w:pPr>
    </w:p>
    <w:p w14:paraId="7E0B74EA" w14:textId="77777777" w:rsidR="005D7D4F" w:rsidRPr="005D7D4F" w:rsidRDefault="005D7D4F" w:rsidP="005D7D4F">
      <w:pPr>
        <w:pStyle w:val="ListParagraph"/>
        <w:spacing w:before="0" w:after="160" w:line="259" w:lineRule="auto"/>
        <w:ind w:left="1440"/>
        <w:rPr>
          <w:rFonts w:ascii="Californian FB" w:eastAsia="Lustria" w:hAnsi="Californian FB" w:cs="Lustria"/>
          <w:b/>
          <w:bCs/>
          <w:color w:val="000000"/>
          <w:sz w:val="28"/>
          <w:szCs w:val="28"/>
        </w:rPr>
      </w:pPr>
    </w:p>
    <w:p w14:paraId="0E894177" w14:textId="5B80DA07" w:rsidR="009521E4" w:rsidRPr="005D7D4F" w:rsidRDefault="00380CB0" w:rsidP="005D7D4F">
      <w:pPr>
        <w:pStyle w:val="ListParagraph"/>
        <w:numPr>
          <w:ilvl w:val="0"/>
          <w:numId w:val="14"/>
        </w:numPr>
        <w:spacing w:before="0" w:after="160" w:line="259" w:lineRule="auto"/>
        <w:rPr>
          <w:rFonts w:ascii="Californian FB" w:eastAsia="Lustria" w:hAnsi="Californian FB" w:cs="Lustria"/>
          <w:b/>
          <w:bCs/>
          <w:color w:val="000000"/>
          <w:sz w:val="28"/>
          <w:szCs w:val="28"/>
        </w:rPr>
      </w:pPr>
      <w:r w:rsidRPr="005D7D4F">
        <w:rPr>
          <w:rFonts w:ascii="Californian FB" w:eastAsia="Lustria" w:hAnsi="Californian FB" w:cs="Lustria"/>
          <w:b/>
          <w:bCs/>
          <w:color w:val="000000"/>
          <w:sz w:val="28"/>
          <w:szCs w:val="28"/>
        </w:rPr>
        <w:t>References and annexes</w:t>
      </w:r>
    </w:p>
    <w:p w14:paraId="563BCCF4"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Anglia Ruskin University.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Peterborough collaboration model. Retrieved from </w:t>
      </w:r>
      <w:hyperlink r:id="rId10" w:history="1">
        <w:r w:rsidRPr="005868B7">
          <w:rPr>
            <w:rStyle w:val="Hyperlink"/>
            <w:rFonts w:ascii="Californian FB" w:eastAsia="Lustria" w:hAnsi="Californian FB" w:cs="Lustria"/>
            <w:sz w:val="28"/>
          </w:rPr>
          <w:t>https://aru.ac.uk/</w:t>
        </w:r>
      </w:hyperlink>
    </w:p>
    <w:p w14:paraId="4F32837B"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Department for Education. (2022). </w:t>
      </w:r>
      <w:r w:rsidRPr="005868B7">
        <w:rPr>
          <w:rFonts w:ascii="Californian FB" w:hAnsi="Californian FB"/>
          <w:i/>
          <w:iCs/>
          <w:sz w:val="28"/>
        </w:rPr>
        <w:t>Does where graduates move affect their earnings?</w:t>
      </w:r>
      <w:r w:rsidRPr="005868B7">
        <w:rPr>
          <w:rFonts w:ascii="Californian FB" w:hAnsi="Californian FB"/>
          <w:sz w:val="28"/>
        </w:rPr>
        <w:t xml:space="preserve"> Skills and Productivity Board. https://www.gov.uk/government/publications/does-where-graduates-move-affect-their-earnings</w:t>
      </w:r>
    </w:p>
    <w:p w14:paraId="5FEAF387"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Department for Education. (2023a). </w:t>
      </w:r>
      <w:r w:rsidRPr="005868B7">
        <w:rPr>
          <w:rFonts w:ascii="Californian FB" w:hAnsi="Californian FB"/>
          <w:i/>
          <w:iCs/>
          <w:sz w:val="28"/>
        </w:rPr>
        <w:t>Graduate outcomes (LEO): 2020 to 2021</w:t>
      </w:r>
      <w:r w:rsidRPr="005868B7">
        <w:rPr>
          <w:rFonts w:ascii="Californian FB" w:hAnsi="Californian FB"/>
          <w:sz w:val="28"/>
        </w:rPr>
        <w:t>. https://www.gov.uk/government/statistics/graduate-outcomes-leo-2020-to-2021</w:t>
      </w:r>
    </w:p>
    <w:p w14:paraId="538D66D2"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Department for Education. (2023b). </w:t>
      </w:r>
      <w:r w:rsidRPr="005868B7">
        <w:rPr>
          <w:rFonts w:ascii="Californian FB" w:hAnsi="Californian FB"/>
          <w:i/>
          <w:iCs/>
          <w:sz w:val="28"/>
        </w:rPr>
        <w:t>Outcome-based success measures: Further education and skills</w:t>
      </w:r>
      <w:r w:rsidRPr="005868B7">
        <w:rPr>
          <w:rFonts w:ascii="Californian FB" w:hAnsi="Californian FB"/>
          <w:sz w:val="28"/>
        </w:rPr>
        <w:t>. https://www.gov.uk/government/publications/outcome-based-success-measures-further-education-and-skills</w:t>
      </w:r>
    </w:p>
    <w:p w14:paraId="72AE6BE4"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Department for Education.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Longitudinal Education Outcomes (LEO) data. Retrieved from </w:t>
      </w:r>
      <w:hyperlink r:id="rId11" w:history="1">
        <w:r w:rsidRPr="005868B7">
          <w:rPr>
            <w:rStyle w:val="Hyperlink"/>
            <w:rFonts w:ascii="Californian FB" w:eastAsia="Lustria" w:hAnsi="Californian FB" w:cs="Lustria"/>
            <w:sz w:val="28"/>
          </w:rPr>
          <w:t>https://www.gov.uk/government/collections/longitudinal-education-outcomes-leo-data</w:t>
        </w:r>
      </w:hyperlink>
    </w:p>
    <w:p w14:paraId="286DEF5C" w14:textId="77777777" w:rsidR="005868B7" w:rsidRPr="005868B7" w:rsidRDefault="005868B7" w:rsidP="00380CB0">
      <w:pPr>
        <w:pStyle w:val="ListParagraph"/>
        <w:numPr>
          <w:ilvl w:val="0"/>
          <w:numId w:val="30"/>
        </w:numPr>
        <w:rPr>
          <w:rFonts w:ascii="Californian FB" w:eastAsia="Lustria" w:hAnsi="Californian FB" w:cs="Lustria"/>
          <w:sz w:val="28"/>
        </w:rPr>
      </w:pPr>
      <w:proofErr w:type="spellStart"/>
      <w:r w:rsidRPr="005868B7">
        <w:rPr>
          <w:rFonts w:ascii="Californian FB" w:eastAsia="Lustria" w:hAnsi="Californian FB" w:cs="Lustria"/>
          <w:sz w:val="28"/>
        </w:rPr>
        <w:lastRenderedPageBreak/>
        <w:t>Gradcore</w:t>
      </w:r>
      <w:proofErr w:type="spellEnd"/>
      <w:r w:rsidRPr="005868B7">
        <w:rPr>
          <w:rFonts w:ascii="Californian FB" w:eastAsia="Lustria" w:hAnsi="Californian FB" w:cs="Lustria"/>
          <w:sz w:val="28"/>
        </w:rPr>
        <w:t>.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Employability </w:t>
      </w:r>
      <w:proofErr w:type="spellStart"/>
      <w:r w:rsidRPr="005868B7">
        <w:rPr>
          <w:rFonts w:ascii="Californian FB" w:eastAsia="Lustria" w:hAnsi="Californian FB" w:cs="Lustria"/>
          <w:sz w:val="28"/>
        </w:rPr>
        <w:t>Healthcheck</w:t>
      </w:r>
      <w:proofErr w:type="spellEnd"/>
      <w:r w:rsidRPr="005868B7">
        <w:rPr>
          <w:rFonts w:ascii="Californian FB" w:eastAsia="Lustria" w:hAnsi="Californian FB" w:cs="Lustria"/>
          <w:sz w:val="28"/>
        </w:rPr>
        <w:t xml:space="preserve"> Model (EHM). Retrieved from </w:t>
      </w:r>
      <w:hyperlink r:id="rId12" w:history="1">
        <w:r w:rsidRPr="005868B7">
          <w:rPr>
            <w:rStyle w:val="Hyperlink"/>
            <w:rFonts w:ascii="Californian FB" w:eastAsia="Lustria" w:hAnsi="Californian FB" w:cs="Lustria"/>
            <w:sz w:val="28"/>
          </w:rPr>
          <w:t>https://www.gradcore.co.uk/</w:t>
        </w:r>
      </w:hyperlink>
    </w:p>
    <w:p w14:paraId="1C8454B2"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HESA. (2024). </w:t>
      </w:r>
      <w:r w:rsidRPr="005868B7">
        <w:rPr>
          <w:rFonts w:ascii="Californian FB" w:hAnsi="Californian FB"/>
          <w:i/>
          <w:iCs/>
          <w:sz w:val="28"/>
        </w:rPr>
        <w:t>Graduate Outcomes Quality Report: 2021/22</w:t>
      </w:r>
      <w:r w:rsidRPr="005868B7">
        <w:rPr>
          <w:rFonts w:ascii="Californian FB" w:hAnsi="Californian FB"/>
          <w:sz w:val="28"/>
        </w:rPr>
        <w:t>. Higher Education Statistics Agency. https://www.hesa.ac.uk/data-and-analysis/graduates/quality</w:t>
      </w:r>
    </w:p>
    <w:p w14:paraId="1BB1F3F4"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Higher Education Policy Institute.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Reports and publications. Retrieved from </w:t>
      </w:r>
      <w:hyperlink r:id="rId13" w:history="1">
        <w:r w:rsidRPr="005868B7">
          <w:rPr>
            <w:rStyle w:val="Hyperlink"/>
            <w:rFonts w:ascii="Californian FB" w:eastAsia="Lustria" w:hAnsi="Californian FB" w:cs="Lustria"/>
            <w:sz w:val="28"/>
          </w:rPr>
          <w:t>https://www.hepi.ac.uk/publications/</w:t>
        </w:r>
      </w:hyperlink>
    </w:p>
    <w:p w14:paraId="14E88F77" w14:textId="77777777" w:rsidR="005868B7" w:rsidRPr="005868B7" w:rsidRDefault="005868B7" w:rsidP="008D1B0D">
      <w:pPr>
        <w:pStyle w:val="ListParagraph"/>
        <w:numPr>
          <w:ilvl w:val="0"/>
          <w:numId w:val="30"/>
        </w:numPr>
        <w:spacing w:line="360" w:lineRule="auto"/>
        <w:rPr>
          <w:rFonts w:ascii="Californian FB" w:hAnsi="Californian FB"/>
          <w:sz w:val="28"/>
        </w:rPr>
      </w:pPr>
      <w:proofErr w:type="spellStart"/>
      <w:r w:rsidRPr="005868B7">
        <w:rPr>
          <w:rFonts w:ascii="Californian FB" w:hAnsi="Californian FB"/>
          <w:sz w:val="28"/>
        </w:rPr>
        <w:t>Jisc</w:t>
      </w:r>
      <w:proofErr w:type="spellEnd"/>
      <w:r w:rsidRPr="005868B7">
        <w:rPr>
          <w:rFonts w:ascii="Californian FB" w:hAnsi="Californian FB"/>
          <w:sz w:val="28"/>
        </w:rPr>
        <w:t xml:space="preserve">. (2024). </w:t>
      </w:r>
      <w:r w:rsidRPr="005868B7">
        <w:rPr>
          <w:rFonts w:ascii="Californian FB" w:hAnsi="Californian FB"/>
          <w:i/>
          <w:iCs/>
          <w:sz w:val="28"/>
        </w:rPr>
        <w:t>Graduate Outcomes Survey overview</w:t>
      </w:r>
      <w:r w:rsidRPr="005868B7">
        <w:rPr>
          <w:rFonts w:ascii="Californian FB" w:hAnsi="Californian FB"/>
          <w:sz w:val="28"/>
        </w:rPr>
        <w:t xml:space="preserve">. </w:t>
      </w:r>
      <w:hyperlink r:id="rId14" w:tgtFrame="_new" w:history="1">
        <w:r w:rsidRPr="005868B7">
          <w:rPr>
            <w:rStyle w:val="Hyperlink"/>
            <w:rFonts w:ascii="Californian FB" w:hAnsi="Californian FB"/>
            <w:sz w:val="28"/>
          </w:rPr>
          <w:t>https://www.graduateoutcomes.ac.uk</w:t>
        </w:r>
      </w:hyperlink>
    </w:p>
    <w:p w14:paraId="38D48812" w14:textId="77777777" w:rsidR="005868B7" w:rsidRPr="005868B7" w:rsidRDefault="005868B7" w:rsidP="008D1B0D">
      <w:pPr>
        <w:pStyle w:val="ListParagraph"/>
        <w:numPr>
          <w:ilvl w:val="0"/>
          <w:numId w:val="30"/>
        </w:numPr>
        <w:spacing w:line="360" w:lineRule="auto"/>
        <w:rPr>
          <w:rFonts w:ascii="Californian FB" w:hAnsi="Californian FB"/>
          <w:sz w:val="28"/>
        </w:rPr>
      </w:pPr>
      <w:proofErr w:type="spellStart"/>
      <w:r w:rsidRPr="005868B7">
        <w:rPr>
          <w:rFonts w:ascii="Californian FB" w:hAnsi="Californian FB"/>
          <w:sz w:val="28"/>
        </w:rPr>
        <w:t>Kornelakis</w:t>
      </w:r>
      <w:proofErr w:type="spellEnd"/>
      <w:r w:rsidRPr="005868B7">
        <w:rPr>
          <w:rFonts w:ascii="Californian FB" w:hAnsi="Californian FB"/>
          <w:sz w:val="28"/>
        </w:rPr>
        <w:t xml:space="preserve">, A. (2014). </w:t>
      </w:r>
      <w:r w:rsidRPr="005868B7">
        <w:rPr>
          <w:rFonts w:ascii="Californian FB" w:hAnsi="Californian FB"/>
          <w:i/>
          <w:iCs/>
          <w:sz w:val="28"/>
        </w:rPr>
        <w:t xml:space="preserve">The evolution of national </w:t>
      </w:r>
      <w:proofErr w:type="spellStart"/>
      <w:r w:rsidRPr="005868B7">
        <w:rPr>
          <w:rFonts w:ascii="Californian FB" w:hAnsi="Californian FB"/>
          <w:i/>
          <w:iCs/>
          <w:sz w:val="28"/>
        </w:rPr>
        <w:t>flexicurity</w:t>
      </w:r>
      <w:proofErr w:type="spellEnd"/>
      <w:r w:rsidRPr="005868B7">
        <w:rPr>
          <w:rFonts w:ascii="Californian FB" w:hAnsi="Californian FB"/>
          <w:i/>
          <w:iCs/>
          <w:sz w:val="28"/>
        </w:rPr>
        <w:t xml:space="preserve"> policies across the EU</w:t>
      </w:r>
      <w:r w:rsidRPr="005868B7">
        <w:rPr>
          <w:rFonts w:ascii="Californian FB" w:hAnsi="Californian FB"/>
          <w:sz w:val="28"/>
        </w:rPr>
        <w:t>. European Journal of Industrial Relations, 20(3), 277–292. https://doi.org/10.1177/0959680114535373</w:t>
      </w:r>
    </w:p>
    <w:p w14:paraId="4C74EB16" w14:textId="77777777" w:rsidR="005868B7" w:rsidRPr="005868B7" w:rsidRDefault="001C3A0F" w:rsidP="00380CB0">
      <w:pPr>
        <w:pStyle w:val="ListParagraph"/>
        <w:numPr>
          <w:ilvl w:val="0"/>
          <w:numId w:val="30"/>
        </w:numPr>
        <w:rPr>
          <w:rFonts w:ascii="Californian FB" w:eastAsia="Lustria" w:hAnsi="Californian FB" w:cs="Lustria"/>
          <w:sz w:val="28"/>
        </w:rPr>
      </w:pPr>
      <w:hyperlink r:id="rId15" w:tgtFrame="_blank" w:history="1">
        <w:r w:rsidR="005868B7" w:rsidRPr="005868B7">
          <w:rPr>
            <w:rStyle w:val="Hyperlink"/>
            <w:rFonts w:ascii="Californian FB" w:eastAsia="Lustria" w:hAnsi="Californian FB" w:cs="Lustria"/>
            <w:sz w:val="28"/>
          </w:rPr>
          <w:t xml:space="preserve">McGrath, S., Madziva, R., &amp; Thondhlana, J. (2017). Rethinking the employability of international graduate migrants: Reflections on the experiences of Zimbabweans with degrees from England. In </w:t>
        </w:r>
      </w:hyperlink>
      <w:hyperlink r:id="rId16" w:tgtFrame="_blank" w:history="1">
        <w:r w:rsidR="005868B7" w:rsidRPr="005868B7">
          <w:rPr>
            <w:rStyle w:val="Hyperlink"/>
            <w:rFonts w:ascii="Californian FB" w:eastAsia="Lustria" w:hAnsi="Californian FB" w:cs="Lustria"/>
            <w:i/>
            <w:iCs/>
            <w:sz w:val="28"/>
          </w:rPr>
          <w:t>Journal of Further and Higher Education</w:t>
        </w:r>
      </w:hyperlink>
      <w:hyperlink r:id="rId17" w:tgtFrame="_blank" w:history="1">
        <w:r w:rsidR="005868B7" w:rsidRPr="005868B7">
          <w:rPr>
            <w:rStyle w:val="Hyperlink"/>
            <w:rFonts w:ascii="Californian FB" w:eastAsia="Lustria" w:hAnsi="Californian FB" w:cs="Lustria"/>
            <w:sz w:val="28"/>
          </w:rPr>
          <w:t xml:space="preserve"> (Vols. 41, pp. 238-259). Journal of Further and Higher Education. https://doi.org/10.1080/0309877X.2015.1062853</w:t>
        </w:r>
      </w:hyperlink>
    </w:p>
    <w:p w14:paraId="3C6B8EF2"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Northumbria University.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Graduate Futures strategy. Retrieved from </w:t>
      </w:r>
      <w:hyperlink r:id="rId18" w:history="1">
        <w:r w:rsidRPr="005868B7">
          <w:rPr>
            <w:rStyle w:val="Hyperlink"/>
            <w:rFonts w:ascii="Californian FB" w:eastAsia="Lustria" w:hAnsi="Californian FB" w:cs="Lustria"/>
            <w:sz w:val="28"/>
          </w:rPr>
          <w:t>https://www.northumbria.ac.uk/</w:t>
        </w:r>
      </w:hyperlink>
    </w:p>
    <w:p w14:paraId="0557BF98"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Office for Statistics Regulation. (2024). </w:t>
      </w:r>
      <w:r w:rsidRPr="005868B7">
        <w:rPr>
          <w:rFonts w:ascii="Californian FB" w:hAnsi="Californian FB"/>
          <w:i/>
          <w:iCs/>
          <w:sz w:val="28"/>
        </w:rPr>
        <w:t>Assessment of compliance with the Code of Practice for Statistics: Graduate Outcomes Survey</w:t>
      </w:r>
      <w:r w:rsidRPr="005868B7">
        <w:rPr>
          <w:rFonts w:ascii="Californian FB" w:hAnsi="Californian FB"/>
          <w:sz w:val="28"/>
        </w:rPr>
        <w:t>. https://osr.statisticsauthority.gov.uk</w:t>
      </w:r>
    </w:p>
    <w:p w14:paraId="125DF05B"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Office for Students. (2023). </w:t>
      </w:r>
      <w:r w:rsidRPr="005868B7">
        <w:rPr>
          <w:rFonts w:ascii="Californian FB" w:hAnsi="Californian FB"/>
          <w:i/>
          <w:iCs/>
          <w:sz w:val="28"/>
        </w:rPr>
        <w:t>Teaching Excellence Framework (TEF)</w:t>
      </w:r>
      <w:r w:rsidRPr="005868B7">
        <w:rPr>
          <w:rFonts w:ascii="Californian FB" w:hAnsi="Californian FB"/>
          <w:sz w:val="28"/>
        </w:rPr>
        <w:t>. https://www.officeforstudents.org.uk/advice-and-guidance/teaching/tef</w:t>
      </w:r>
    </w:p>
    <w:p w14:paraId="38DA8722"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Office for Students.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Our priorities. Retrieved from </w:t>
      </w:r>
      <w:hyperlink r:id="rId19" w:history="1">
        <w:r w:rsidRPr="005868B7">
          <w:rPr>
            <w:rStyle w:val="Hyperlink"/>
            <w:rFonts w:ascii="Californian FB" w:eastAsia="Lustria" w:hAnsi="Californian FB" w:cs="Lustria"/>
            <w:sz w:val="28"/>
          </w:rPr>
          <w:t>https://www.officeforstudents.org.uk/</w:t>
        </w:r>
      </w:hyperlink>
    </w:p>
    <w:p w14:paraId="327F0668"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Sheffield Hallam University.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w:t>
      </w:r>
      <w:proofErr w:type="spellStart"/>
      <w:r w:rsidRPr="005868B7">
        <w:rPr>
          <w:rFonts w:ascii="Californian FB" w:eastAsia="Lustria" w:hAnsi="Californian FB" w:cs="Lustria"/>
          <w:sz w:val="28"/>
        </w:rPr>
        <w:t>TargetConnect</w:t>
      </w:r>
      <w:proofErr w:type="spellEnd"/>
      <w:r w:rsidRPr="005868B7">
        <w:rPr>
          <w:rFonts w:ascii="Californian FB" w:eastAsia="Lustria" w:hAnsi="Californian FB" w:cs="Lustria"/>
          <w:sz w:val="28"/>
        </w:rPr>
        <w:t xml:space="preserve"> employability portal. Retrieved from </w:t>
      </w:r>
      <w:hyperlink r:id="rId20" w:history="1">
        <w:r w:rsidRPr="005868B7">
          <w:rPr>
            <w:rStyle w:val="Hyperlink"/>
            <w:rFonts w:ascii="Californian FB" w:eastAsia="Lustria" w:hAnsi="Californian FB" w:cs="Lustria"/>
            <w:sz w:val="28"/>
          </w:rPr>
          <w:t>https://www.shu.ac.uk/</w:t>
        </w:r>
      </w:hyperlink>
    </w:p>
    <w:p w14:paraId="4E25A291"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The Access Group. (2024). </w:t>
      </w:r>
      <w:r w:rsidRPr="005868B7">
        <w:rPr>
          <w:rFonts w:ascii="Californian FB" w:hAnsi="Californian FB"/>
          <w:i/>
          <w:iCs/>
          <w:sz w:val="28"/>
        </w:rPr>
        <w:t>Developing student employability</w:t>
      </w:r>
      <w:r w:rsidRPr="005868B7">
        <w:rPr>
          <w:rFonts w:ascii="Californian FB" w:hAnsi="Californian FB"/>
          <w:sz w:val="28"/>
        </w:rPr>
        <w:t>. https://www.theaccessgroup.com/en-gb/education/careers-and-employability/</w:t>
      </w:r>
    </w:p>
    <w:p w14:paraId="14DA65E7"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 xml:space="preserve">UK Government. (2023). Lifelong Learning and Skills Act 2023. Retrieved from </w:t>
      </w:r>
      <w:hyperlink r:id="rId21" w:history="1">
        <w:r w:rsidRPr="005868B7">
          <w:rPr>
            <w:rStyle w:val="Hyperlink"/>
            <w:rFonts w:ascii="Californian FB" w:eastAsia="Lustria" w:hAnsi="Californian FB" w:cs="Lustria"/>
            <w:sz w:val="28"/>
          </w:rPr>
          <w:t>https://www.legislation.gov.uk/</w:t>
        </w:r>
      </w:hyperlink>
    </w:p>
    <w:p w14:paraId="1983FE80"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lastRenderedPageBreak/>
        <w:t xml:space="preserve">UK Parliament. (2017). </w:t>
      </w:r>
      <w:r w:rsidRPr="005868B7">
        <w:rPr>
          <w:rFonts w:ascii="Californian FB" w:hAnsi="Californian FB"/>
          <w:i/>
          <w:iCs/>
          <w:sz w:val="28"/>
        </w:rPr>
        <w:t>Higher Education and Research Act 2017</w:t>
      </w:r>
      <w:r w:rsidRPr="005868B7">
        <w:rPr>
          <w:rFonts w:ascii="Californian FB" w:hAnsi="Californian FB"/>
          <w:sz w:val="28"/>
        </w:rPr>
        <w:t>. https://www.legislation.gov.uk/ukpga/2017/29/contents/enacted</w:t>
      </w:r>
    </w:p>
    <w:p w14:paraId="77C73516" w14:textId="77777777" w:rsidR="005868B7" w:rsidRPr="005868B7" w:rsidRDefault="005868B7" w:rsidP="008D1B0D">
      <w:pPr>
        <w:pStyle w:val="ListParagraph"/>
        <w:numPr>
          <w:ilvl w:val="0"/>
          <w:numId w:val="30"/>
        </w:numPr>
        <w:spacing w:line="360" w:lineRule="auto"/>
        <w:rPr>
          <w:rFonts w:ascii="Californian FB" w:hAnsi="Californian FB"/>
          <w:sz w:val="28"/>
        </w:rPr>
      </w:pPr>
      <w:r w:rsidRPr="005868B7">
        <w:rPr>
          <w:rFonts w:ascii="Californian FB" w:hAnsi="Californian FB"/>
          <w:sz w:val="28"/>
        </w:rPr>
        <w:t xml:space="preserve">Universities UK. (2023). </w:t>
      </w:r>
      <w:r w:rsidRPr="005868B7">
        <w:rPr>
          <w:rFonts w:ascii="Californian FB" w:hAnsi="Californian FB"/>
          <w:i/>
          <w:iCs/>
          <w:sz w:val="28"/>
        </w:rPr>
        <w:t>Supporting graduates into employment</w:t>
      </w:r>
      <w:r w:rsidRPr="005868B7">
        <w:rPr>
          <w:rFonts w:ascii="Californian FB" w:hAnsi="Californian FB"/>
          <w:sz w:val="28"/>
        </w:rPr>
        <w:t>. https://www.universitiesuk.ac.uk/what-we-do/policy-and-research/supporting-graduates-employment</w:t>
      </w:r>
    </w:p>
    <w:p w14:paraId="304C7CDD"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Universities UK.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Graduate Outcomes Survey. Retrieved from </w:t>
      </w:r>
      <w:hyperlink r:id="rId22" w:history="1">
        <w:r w:rsidRPr="005868B7">
          <w:rPr>
            <w:rStyle w:val="Hyperlink"/>
            <w:rFonts w:ascii="Californian FB" w:eastAsia="Lustria" w:hAnsi="Californian FB" w:cs="Lustria"/>
            <w:sz w:val="28"/>
          </w:rPr>
          <w:t>https://www.graduateoutcomes.ac.uk</w:t>
        </w:r>
      </w:hyperlink>
    </w:p>
    <w:p w14:paraId="015EE51C"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University College London.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Connected Curriculum. Retrieved from </w:t>
      </w:r>
      <w:hyperlink r:id="rId23" w:history="1">
        <w:r w:rsidRPr="005868B7">
          <w:rPr>
            <w:rStyle w:val="Hyperlink"/>
            <w:rFonts w:ascii="Californian FB" w:eastAsia="Lustria" w:hAnsi="Californian FB" w:cs="Lustria"/>
            <w:sz w:val="28"/>
          </w:rPr>
          <w:t>https://www.ucl.ac.uk/connected-curriculum/</w:t>
        </w:r>
      </w:hyperlink>
    </w:p>
    <w:p w14:paraId="308806D7"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University of Birmingham.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Curriculum 2025 initiative. Retrieved from </w:t>
      </w:r>
      <w:hyperlink r:id="rId24" w:history="1">
        <w:r w:rsidRPr="005868B7">
          <w:rPr>
            <w:rStyle w:val="Hyperlink"/>
            <w:rFonts w:ascii="Californian FB" w:eastAsia="Lustria" w:hAnsi="Californian FB" w:cs="Lustria"/>
            <w:sz w:val="28"/>
          </w:rPr>
          <w:t>https://www.birmingham.ac.uk/</w:t>
        </w:r>
      </w:hyperlink>
    </w:p>
    <w:p w14:paraId="6D7B2B43"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University of Leeds.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Digital Credentials and LinkedIn Learning. Retrieved from </w:t>
      </w:r>
      <w:hyperlink r:id="rId25" w:history="1">
        <w:r w:rsidRPr="005868B7">
          <w:rPr>
            <w:rStyle w:val="Hyperlink"/>
            <w:rFonts w:ascii="Californian FB" w:eastAsia="Lustria" w:hAnsi="Californian FB" w:cs="Lustria"/>
            <w:sz w:val="28"/>
          </w:rPr>
          <w:t>https://students.leeds.ac.uk</w:t>
        </w:r>
      </w:hyperlink>
    </w:p>
    <w:p w14:paraId="2937A7C8" w14:textId="77777777" w:rsidR="005868B7" w:rsidRPr="005868B7" w:rsidRDefault="005868B7" w:rsidP="00380CB0">
      <w:pPr>
        <w:pStyle w:val="ListParagraph"/>
        <w:numPr>
          <w:ilvl w:val="0"/>
          <w:numId w:val="30"/>
        </w:numPr>
        <w:rPr>
          <w:rFonts w:ascii="Californian FB" w:eastAsia="Lustria" w:hAnsi="Californian FB" w:cs="Lustria"/>
          <w:sz w:val="28"/>
        </w:rPr>
      </w:pPr>
      <w:r w:rsidRPr="005868B7">
        <w:rPr>
          <w:rFonts w:ascii="Californian FB" w:eastAsia="Lustria" w:hAnsi="Californian FB" w:cs="Lustria"/>
          <w:sz w:val="28"/>
        </w:rPr>
        <w:t>University of Warwick. (</w:t>
      </w:r>
      <w:proofErr w:type="spellStart"/>
      <w:r w:rsidRPr="005868B7">
        <w:rPr>
          <w:rFonts w:ascii="Californian FB" w:eastAsia="Lustria" w:hAnsi="Californian FB" w:cs="Lustria"/>
          <w:sz w:val="28"/>
        </w:rPr>
        <w:t>n.d.</w:t>
      </w:r>
      <w:proofErr w:type="spellEnd"/>
      <w:r w:rsidRPr="005868B7">
        <w:rPr>
          <w:rFonts w:ascii="Californian FB" w:eastAsia="Lustria" w:hAnsi="Californian FB" w:cs="Lustria"/>
          <w:sz w:val="28"/>
        </w:rPr>
        <w:t xml:space="preserve">). Warwick Skills Portfolio Award. Retrieved from </w:t>
      </w:r>
      <w:hyperlink r:id="rId26" w:history="1">
        <w:r w:rsidRPr="005868B7">
          <w:rPr>
            <w:rStyle w:val="Hyperlink"/>
            <w:rFonts w:ascii="Californian FB" w:eastAsia="Lustria" w:hAnsi="Californian FB" w:cs="Lustria"/>
            <w:sz w:val="28"/>
          </w:rPr>
          <w:t>https://warwick.ac.uk/</w:t>
        </w:r>
      </w:hyperlink>
    </w:p>
    <w:p w14:paraId="7C79A772" w14:textId="77777777" w:rsidR="008D1B0D" w:rsidRPr="005868B7" w:rsidRDefault="008D1B0D" w:rsidP="008D1B0D">
      <w:pPr>
        <w:pStyle w:val="ListParagraph"/>
        <w:numPr>
          <w:ilvl w:val="0"/>
          <w:numId w:val="30"/>
        </w:numPr>
        <w:spacing w:line="360" w:lineRule="auto"/>
        <w:rPr>
          <w:rFonts w:ascii="Californian FB" w:hAnsi="Californian FB"/>
          <w:vanish/>
          <w:sz w:val="28"/>
        </w:rPr>
      </w:pPr>
      <w:r w:rsidRPr="005868B7">
        <w:rPr>
          <w:rFonts w:ascii="Californian FB" w:hAnsi="Californian FB"/>
          <w:vanish/>
          <w:sz w:val="28"/>
        </w:rPr>
        <w:t>Top of Form</w:t>
      </w:r>
    </w:p>
    <w:p w14:paraId="168BE639" w14:textId="77777777" w:rsidR="00BC4478" w:rsidRDefault="00BC4478" w:rsidP="00BC4478">
      <w:pPr>
        <w:pStyle w:val="ListParagraph"/>
        <w:numPr>
          <w:ilvl w:val="0"/>
          <w:numId w:val="30"/>
        </w:numPr>
        <w:spacing w:line="360" w:lineRule="auto"/>
        <w:rPr>
          <w:rFonts w:ascii="Californian FB" w:eastAsia="Lustria" w:hAnsi="Californian FB" w:cs="Lustria"/>
          <w:sz w:val="26"/>
          <w:szCs w:val="26"/>
        </w:rPr>
      </w:pPr>
      <w:r w:rsidRPr="00BC4478">
        <w:rPr>
          <w:rFonts w:ascii="Californian FB" w:eastAsia="Lustria" w:hAnsi="Californian FB" w:cs="Lustria"/>
          <w:sz w:val="26"/>
          <w:szCs w:val="26"/>
        </w:rPr>
        <w:t>Top 10 UK Universities for Graduate Employability 2025 https://gostudyin.com/india/study-in-uk/study-guides/top-uk-universities-graduate</w:t>
      </w:r>
      <w:r w:rsidRPr="00BC4478">
        <w:rPr>
          <w:rFonts w:ascii="Californian FB" w:eastAsia="Lustria" w:hAnsi="Californian FB" w:cs="Lustria"/>
          <w:sz w:val="26"/>
          <w:szCs w:val="26"/>
        </w:rPr>
        <w:t xml:space="preserve">employability/ Accessed 27th June 2025 </w:t>
      </w:r>
    </w:p>
    <w:p w14:paraId="5EF30DA6" w14:textId="100BDBFF" w:rsidR="00AD5345" w:rsidRPr="00BC4478" w:rsidRDefault="00BC4478" w:rsidP="00BC4478">
      <w:pPr>
        <w:pStyle w:val="ListParagraph"/>
        <w:numPr>
          <w:ilvl w:val="0"/>
          <w:numId w:val="30"/>
        </w:numPr>
        <w:spacing w:line="360" w:lineRule="auto"/>
        <w:rPr>
          <w:rFonts w:ascii="Californian FB" w:eastAsia="Lustria" w:hAnsi="Californian FB" w:cs="Lustria"/>
          <w:sz w:val="26"/>
          <w:szCs w:val="26"/>
        </w:rPr>
      </w:pPr>
      <w:r w:rsidRPr="00BC4478">
        <w:rPr>
          <w:rFonts w:ascii="Californian FB" w:eastAsia="Lustria" w:hAnsi="Californian FB" w:cs="Lustria"/>
          <w:sz w:val="26"/>
          <w:szCs w:val="26"/>
        </w:rPr>
        <w:t>University of York, Work, volunteering and career planning https://www.york.ac.uk/students/work-volunteering-careers/skills/internship-placement/ Accessed 27th June202</w:t>
      </w:r>
    </w:p>
    <w:sectPr w:rsidR="00AD5345" w:rsidRPr="00BC4478">
      <w:headerReference w:type="even" r:id="rId27"/>
      <w:headerReference w:type="default" r:id="rId28"/>
      <w:footerReference w:type="even" r:id="rId29"/>
      <w:footerReference w:type="default" r:id="rId30"/>
      <w:headerReference w:type="first" r:id="rId31"/>
      <w:footerReference w:type="first" r:id="rId32"/>
      <w:pgSz w:w="11906" w:h="16838"/>
      <w:pgMar w:top="1417" w:right="1417" w:bottom="1417" w:left="1417" w:header="284"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D3280" w14:textId="77777777" w:rsidR="001C3A0F" w:rsidRDefault="001C3A0F">
      <w:pPr>
        <w:spacing w:before="0" w:after="0"/>
      </w:pPr>
      <w:r>
        <w:separator/>
      </w:r>
    </w:p>
  </w:endnote>
  <w:endnote w:type="continuationSeparator" w:id="0">
    <w:p w14:paraId="7E6DDCDE" w14:textId="77777777" w:rsidR="001C3A0F" w:rsidRDefault="001C3A0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Lustria">
    <w:altName w:val="Calibri"/>
    <w:charset w:val="00"/>
    <w:family w:val="auto"/>
    <w:pitch w:val="default"/>
  </w:font>
  <w:font w:name="inte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71342"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FFBFE" w14:textId="77777777" w:rsidR="00907F75" w:rsidRDefault="00907F75">
    <w:pPr>
      <w:pBdr>
        <w:top w:val="nil"/>
        <w:left w:val="nil"/>
        <w:bottom w:val="nil"/>
        <w:right w:val="nil"/>
        <w:between w:val="nil"/>
      </w:pBdr>
      <w:tabs>
        <w:tab w:val="center" w:pos="4536"/>
        <w:tab w:val="right" w:pos="9072"/>
      </w:tabs>
      <w:spacing w:before="0" w:after="0"/>
      <w:jc w:val="center"/>
      <w:rPr>
        <w:color w:val="000000"/>
      </w:rPr>
    </w:pPr>
  </w:p>
  <w:p w14:paraId="5D5331B0"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A6B68" w14:textId="77777777" w:rsidR="00907F75" w:rsidRDefault="00907F75">
    <w:pPr>
      <w:pBdr>
        <w:top w:val="nil"/>
        <w:left w:val="nil"/>
        <w:bottom w:val="nil"/>
        <w:right w:val="nil"/>
        <w:between w:val="nil"/>
      </w:pBdr>
      <w:tabs>
        <w:tab w:val="center" w:pos="4536"/>
        <w:tab w:val="right" w:pos="9072"/>
      </w:tabs>
      <w:spacing w:before="0"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EEF500" w14:textId="77777777" w:rsidR="001C3A0F" w:rsidRDefault="001C3A0F">
      <w:pPr>
        <w:spacing w:before="0" w:after="0"/>
      </w:pPr>
      <w:r>
        <w:separator/>
      </w:r>
    </w:p>
  </w:footnote>
  <w:footnote w:type="continuationSeparator" w:id="0">
    <w:p w14:paraId="7A99694C" w14:textId="77777777" w:rsidR="001C3A0F" w:rsidRDefault="001C3A0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58E27" w14:textId="1693A851" w:rsidR="00907F75" w:rsidRDefault="001C3A0F">
    <w:pPr>
      <w:pBdr>
        <w:top w:val="nil"/>
        <w:left w:val="nil"/>
        <w:bottom w:val="nil"/>
        <w:right w:val="nil"/>
        <w:between w:val="nil"/>
      </w:pBdr>
      <w:tabs>
        <w:tab w:val="center" w:pos="4536"/>
        <w:tab w:val="right" w:pos="9072"/>
      </w:tabs>
      <w:spacing w:before="0" w:after="0"/>
      <w:rPr>
        <w:color w:val="000000"/>
      </w:rPr>
    </w:pPr>
    <w:r>
      <w:rPr>
        <w:noProof/>
        <w:color w:val="000000"/>
      </w:rPr>
      <w:pict w14:anchorId="39ACF9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19" o:spid="_x0000_s2053" type="#_x0000_t75" style="position:absolute;left:0;text-align:left;margin-left:0;margin-top:0;width:453.15pt;height:138.7pt;z-index:-251653120;mso-position-horizontal:center;mso-position-horizontal-relative:margin;mso-position-vertical:center;mso-position-vertical-relative:margin" o:allowincell="f">
          <v:imagedata r:id="rId1" o:title="Upscale Logo-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237DB" w14:textId="3BEF678D" w:rsidR="00907F75" w:rsidRDefault="001C3A0F">
    <w:pPr>
      <w:pBdr>
        <w:top w:val="nil"/>
        <w:left w:val="nil"/>
        <w:bottom w:val="nil"/>
        <w:right w:val="nil"/>
        <w:between w:val="nil"/>
      </w:pBdr>
      <w:tabs>
        <w:tab w:val="center" w:pos="4536"/>
        <w:tab w:val="right" w:pos="9072"/>
      </w:tabs>
      <w:spacing w:before="0" w:after="0"/>
      <w:rPr>
        <w:color w:val="000000"/>
      </w:rPr>
    </w:pPr>
    <w:r>
      <w:rPr>
        <w:noProof/>
      </w:rPr>
      <w:pict w14:anchorId="6A645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20" o:spid="_x0000_s2054" type="#_x0000_t75" style="position:absolute;left:0;text-align:left;margin-left:0;margin-top:0;width:453.15pt;height:138.7pt;z-index:-251652096;mso-position-horizontal:center;mso-position-horizontal-relative:margin;mso-position-vertical:center;mso-position-vertical-relative:margin" o:allowincell="f">
          <v:imagedata r:id="rId1" o:title="Upscale Logo-01" gain="19661f" blacklevel="22938f"/>
          <w10:wrap anchorx="margin" anchory="margin"/>
        </v:shape>
      </w:pict>
    </w:r>
    <w:r w:rsidR="00B62DAA">
      <w:rPr>
        <w:noProof/>
        <w:lang w:val="en-US" w:eastAsia="en-US"/>
      </w:rPr>
      <w:drawing>
        <wp:anchor distT="0" distB="0" distL="114300" distR="114300" simplePos="0" relativeHeight="251661312" behindDoc="0" locked="0" layoutInCell="1" allowOverlap="1" wp14:anchorId="04B7D7FB" wp14:editId="6CF1109B">
          <wp:simplePos x="0" y="0"/>
          <wp:positionH relativeFrom="margin">
            <wp:align>right</wp:align>
          </wp:positionH>
          <wp:positionV relativeFrom="paragraph">
            <wp:posOffset>-10160</wp:posOffset>
          </wp:positionV>
          <wp:extent cx="2057400" cy="619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scale logo.png"/>
                  <pic:cNvPicPr/>
                </pic:nvPicPr>
                <pic:blipFill>
                  <a:blip r:embed="rId2">
                    <a:extLst>
                      <a:ext uri="{28A0092B-C50C-407E-A947-70E740481C1C}">
                        <a14:useLocalDpi xmlns:a14="http://schemas.microsoft.com/office/drawing/2010/main" val="0"/>
                      </a:ext>
                    </a:extLst>
                  </a:blip>
                  <a:stretch>
                    <a:fillRect/>
                  </a:stretch>
                </pic:blipFill>
                <pic:spPr>
                  <a:xfrm>
                    <a:off x="0" y="0"/>
                    <a:ext cx="2057400" cy="619125"/>
                  </a:xfrm>
                  <a:prstGeom prst="rect">
                    <a:avLst/>
                  </a:prstGeom>
                </pic:spPr>
              </pic:pic>
            </a:graphicData>
          </a:graphic>
        </wp:anchor>
      </w:drawing>
    </w:r>
    <w:r w:rsidR="00380D5F">
      <w:rPr>
        <w:noProof/>
        <w:color w:val="000000"/>
        <w:lang w:val="en-US" w:eastAsia="en-US"/>
      </w:rPr>
      <w:drawing>
        <wp:inline distT="0" distB="0" distL="0" distR="0" wp14:anchorId="3E42A264" wp14:editId="0B2C6218">
          <wp:extent cx="2352675" cy="52489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_Co-fundedbytheEU_RGB_POS.png"/>
                  <pic:cNvPicPr/>
                </pic:nvPicPr>
                <pic:blipFill>
                  <a:blip r:embed="rId3">
                    <a:extLst>
                      <a:ext uri="{28A0092B-C50C-407E-A947-70E740481C1C}">
                        <a14:useLocalDpi xmlns:a14="http://schemas.microsoft.com/office/drawing/2010/main" val="0"/>
                      </a:ext>
                    </a:extLst>
                  </a:blip>
                  <a:stretch>
                    <a:fillRect/>
                  </a:stretch>
                </pic:blipFill>
                <pic:spPr>
                  <a:xfrm>
                    <a:off x="0" y="0"/>
                    <a:ext cx="2373088" cy="529445"/>
                  </a:xfrm>
                  <a:prstGeom prst="rect">
                    <a:avLst/>
                  </a:prstGeom>
                </pic:spPr>
              </pic:pic>
            </a:graphicData>
          </a:graphic>
        </wp:inline>
      </w:drawing>
    </w:r>
    <w:r w:rsidR="00E55C0C">
      <w:rPr>
        <w:color w:val="000000"/>
      </w:rPr>
      <w:t xml:space="preserve">                       </w:t>
    </w:r>
    <w:r w:rsidR="00E55C0C">
      <w:rPr>
        <w:color w:val="000000"/>
      </w:rPr>
      <w:tab/>
    </w:r>
  </w:p>
  <w:p w14:paraId="3475B935" w14:textId="77777777" w:rsidR="00907F75" w:rsidRDefault="00907F75">
    <w:pPr>
      <w:pBdr>
        <w:top w:val="nil"/>
        <w:left w:val="nil"/>
        <w:bottom w:val="nil"/>
        <w:right w:val="nil"/>
        <w:between w:val="nil"/>
      </w:pBdr>
      <w:tabs>
        <w:tab w:val="center" w:pos="4536"/>
        <w:tab w:val="right" w:pos="9072"/>
      </w:tabs>
      <w:spacing w:before="0" w:after="0"/>
      <w:jc w:val="center"/>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859C9" w14:textId="4FB696F2" w:rsidR="00907F75" w:rsidRDefault="001C3A0F">
    <w:pPr>
      <w:pBdr>
        <w:top w:val="nil"/>
        <w:left w:val="nil"/>
        <w:bottom w:val="nil"/>
        <w:right w:val="nil"/>
        <w:between w:val="nil"/>
      </w:pBdr>
      <w:tabs>
        <w:tab w:val="center" w:pos="4536"/>
        <w:tab w:val="right" w:pos="9072"/>
      </w:tabs>
      <w:spacing w:before="0" w:after="0"/>
      <w:rPr>
        <w:color w:val="000000"/>
      </w:rPr>
    </w:pPr>
    <w:r>
      <w:rPr>
        <w:noProof/>
        <w:color w:val="000000"/>
      </w:rPr>
      <w:pict w14:anchorId="2AC9B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156718" o:spid="_x0000_s2052" type="#_x0000_t75" style="position:absolute;left:0;text-align:left;margin-left:0;margin-top:0;width:453.15pt;height:138.7pt;z-index:-251654144;mso-position-horizontal:center;mso-position-horizontal-relative:margin;mso-position-vertical:center;mso-position-vertical-relative:margin" o:allowincell="f">
          <v:imagedata r:id="rId1" o:title="Upscale Logo-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CCF"/>
    <w:multiLevelType w:val="hybridMultilevel"/>
    <w:tmpl w:val="26DABF7E"/>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
    <w:nsid w:val="077303A4"/>
    <w:multiLevelType w:val="hybridMultilevel"/>
    <w:tmpl w:val="A3244DB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2679D"/>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2627E0A"/>
    <w:multiLevelType w:val="hybridMultilevel"/>
    <w:tmpl w:val="56EC248C"/>
    <w:lvl w:ilvl="0" w:tplc="638ED958">
      <w:start w:val="1"/>
      <w:numFmt w:val="bullet"/>
      <w:lvlText w:val=""/>
      <w:lvlJc w:val="left"/>
      <w:pPr>
        <w:tabs>
          <w:tab w:val="num" w:pos="900"/>
        </w:tabs>
        <w:ind w:left="540" w:hanging="360"/>
      </w:pPr>
      <w:rPr>
        <w:rFonts w:ascii="Symbol" w:hAnsi="Symbol" w:hint="default"/>
      </w:rPr>
    </w:lvl>
    <w:lvl w:ilvl="1" w:tplc="AC48F66A">
      <w:numFmt w:val="decimal"/>
      <w:lvlText w:val=""/>
      <w:lvlJc w:val="left"/>
    </w:lvl>
    <w:lvl w:ilvl="2" w:tplc="DD885DEA">
      <w:numFmt w:val="decimal"/>
      <w:lvlText w:val=""/>
      <w:lvlJc w:val="left"/>
    </w:lvl>
    <w:lvl w:ilvl="3" w:tplc="68ACF9D2">
      <w:numFmt w:val="decimal"/>
      <w:lvlText w:val=""/>
      <w:lvlJc w:val="left"/>
    </w:lvl>
    <w:lvl w:ilvl="4" w:tplc="AC1EA288">
      <w:numFmt w:val="decimal"/>
      <w:lvlText w:val=""/>
      <w:lvlJc w:val="left"/>
    </w:lvl>
    <w:lvl w:ilvl="5" w:tplc="DE10B582">
      <w:numFmt w:val="decimal"/>
      <w:lvlText w:val=""/>
      <w:lvlJc w:val="left"/>
    </w:lvl>
    <w:lvl w:ilvl="6" w:tplc="E0387274">
      <w:numFmt w:val="decimal"/>
      <w:lvlText w:val=""/>
      <w:lvlJc w:val="left"/>
    </w:lvl>
    <w:lvl w:ilvl="7" w:tplc="409E4F46">
      <w:numFmt w:val="decimal"/>
      <w:lvlText w:val=""/>
      <w:lvlJc w:val="left"/>
    </w:lvl>
    <w:lvl w:ilvl="8" w:tplc="A27CD60A">
      <w:numFmt w:val="decimal"/>
      <w:lvlText w:val=""/>
      <w:lvlJc w:val="left"/>
    </w:lvl>
  </w:abstractNum>
  <w:abstractNum w:abstractNumId="4">
    <w:nsid w:val="13571B29"/>
    <w:multiLevelType w:val="hybridMultilevel"/>
    <w:tmpl w:val="947C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936D87"/>
    <w:multiLevelType w:val="multilevel"/>
    <w:tmpl w:val="69A66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0462C4"/>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B361800"/>
    <w:multiLevelType w:val="hybridMultilevel"/>
    <w:tmpl w:val="5816CF18"/>
    <w:lvl w:ilvl="0" w:tplc="49FCAC3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C6722D"/>
    <w:multiLevelType w:val="hybridMultilevel"/>
    <w:tmpl w:val="D346D7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5E3394"/>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A4556C4"/>
    <w:multiLevelType w:val="hybridMultilevel"/>
    <w:tmpl w:val="DACC7846"/>
    <w:lvl w:ilvl="0" w:tplc="49FCAC3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D52547"/>
    <w:multiLevelType w:val="multilevel"/>
    <w:tmpl w:val="8C5E7ED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nsid w:val="2DD61B7F"/>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1165D50"/>
    <w:multiLevelType w:val="multilevel"/>
    <w:tmpl w:val="00B2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2D46BC"/>
    <w:multiLevelType w:val="multilevel"/>
    <w:tmpl w:val="B62C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334ED"/>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4A35736"/>
    <w:multiLevelType w:val="multilevel"/>
    <w:tmpl w:val="05B446EE"/>
    <w:lvl w:ilvl="0">
      <w:start w:val="1"/>
      <w:numFmt w:val="bullet"/>
      <w:lvlText w:val=""/>
      <w:lvlJc w:val="left"/>
      <w:pPr>
        <w:ind w:left="720" w:hanging="360"/>
      </w:pPr>
      <w:rPr>
        <w:rFonts w:ascii="Symbol" w:hAnsi="Symbol" w:hint="default"/>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8F81DBA"/>
    <w:multiLevelType w:val="hybridMultilevel"/>
    <w:tmpl w:val="402C2186"/>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8">
    <w:nsid w:val="497F53CF"/>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4EC35796"/>
    <w:multiLevelType w:val="hybridMultilevel"/>
    <w:tmpl w:val="92E27718"/>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0">
    <w:nsid w:val="4EE4542C"/>
    <w:multiLevelType w:val="hybridMultilevel"/>
    <w:tmpl w:val="A868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F14618"/>
    <w:multiLevelType w:val="hybridMultilevel"/>
    <w:tmpl w:val="947C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CE738F"/>
    <w:multiLevelType w:val="multilevel"/>
    <w:tmpl w:val="0DE0C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344A0B"/>
    <w:multiLevelType w:val="hybridMultilevel"/>
    <w:tmpl w:val="8CC27B38"/>
    <w:lvl w:ilvl="0" w:tplc="2000001B">
      <w:start w:val="1"/>
      <w:numFmt w:val="lowerRoman"/>
      <w:lvlText w:val="%1."/>
      <w:lvlJc w:val="righ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nsid w:val="53B92F2C"/>
    <w:multiLevelType w:val="hybridMultilevel"/>
    <w:tmpl w:val="AF0E3798"/>
    <w:lvl w:ilvl="0" w:tplc="20000001">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25">
    <w:nsid w:val="54AA4679"/>
    <w:multiLevelType w:val="multilevel"/>
    <w:tmpl w:val="05B446EE"/>
    <w:lvl w:ilvl="0">
      <w:start w:val="1"/>
      <w:numFmt w:val="bullet"/>
      <w:lvlText w:val=""/>
      <w:lvlJc w:val="left"/>
      <w:pPr>
        <w:ind w:left="720" w:hanging="360"/>
      </w:pPr>
      <w:rPr>
        <w:rFonts w:ascii="Symbol" w:hAnsi="Symbol" w:hint="default"/>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96369AA"/>
    <w:multiLevelType w:val="multilevel"/>
    <w:tmpl w:val="C2FE0E8C"/>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B230925"/>
    <w:multiLevelType w:val="multilevel"/>
    <w:tmpl w:val="05B446EE"/>
    <w:lvl w:ilvl="0">
      <w:start w:val="1"/>
      <w:numFmt w:val="bullet"/>
      <w:lvlText w:val=""/>
      <w:lvlJc w:val="left"/>
      <w:pPr>
        <w:ind w:left="720" w:hanging="360"/>
      </w:pPr>
      <w:rPr>
        <w:rFonts w:ascii="Symbol" w:hAnsi="Symbol"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0B542B1"/>
    <w:multiLevelType w:val="hybridMultilevel"/>
    <w:tmpl w:val="6646F3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1AA0E69"/>
    <w:multiLevelType w:val="multilevel"/>
    <w:tmpl w:val="05B446EE"/>
    <w:lvl w:ilvl="0">
      <w:start w:val="1"/>
      <w:numFmt w:val="bullet"/>
      <w:lvlText w:val=""/>
      <w:lvlJc w:val="left"/>
      <w:pPr>
        <w:ind w:left="720" w:hanging="360"/>
      </w:pPr>
      <w:rPr>
        <w:rFonts w:ascii="Symbol" w:hAnsi="Symbol" w:hint="default"/>
        <w:color w:val="auto"/>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36D261E"/>
    <w:multiLevelType w:val="multilevel"/>
    <w:tmpl w:val="01C06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905BFF"/>
    <w:multiLevelType w:val="hybridMultilevel"/>
    <w:tmpl w:val="27680DE8"/>
    <w:lvl w:ilvl="0" w:tplc="20000001">
      <w:start w:val="1"/>
      <w:numFmt w:val="bullet"/>
      <w:lvlText w:val=""/>
      <w:lvlJc w:val="left"/>
      <w:pPr>
        <w:ind w:left="1356" w:hanging="360"/>
      </w:pPr>
      <w:rPr>
        <w:rFonts w:ascii="Symbol" w:hAnsi="Symbol" w:hint="default"/>
      </w:rPr>
    </w:lvl>
    <w:lvl w:ilvl="1" w:tplc="20000003" w:tentative="1">
      <w:start w:val="1"/>
      <w:numFmt w:val="bullet"/>
      <w:lvlText w:val="o"/>
      <w:lvlJc w:val="left"/>
      <w:pPr>
        <w:ind w:left="2076" w:hanging="360"/>
      </w:pPr>
      <w:rPr>
        <w:rFonts w:ascii="Courier New" w:hAnsi="Courier New" w:cs="Courier New" w:hint="default"/>
      </w:rPr>
    </w:lvl>
    <w:lvl w:ilvl="2" w:tplc="20000005" w:tentative="1">
      <w:start w:val="1"/>
      <w:numFmt w:val="bullet"/>
      <w:lvlText w:val=""/>
      <w:lvlJc w:val="left"/>
      <w:pPr>
        <w:ind w:left="2796" w:hanging="360"/>
      </w:pPr>
      <w:rPr>
        <w:rFonts w:ascii="Wingdings" w:hAnsi="Wingdings" w:hint="default"/>
      </w:rPr>
    </w:lvl>
    <w:lvl w:ilvl="3" w:tplc="20000001" w:tentative="1">
      <w:start w:val="1"/>
      <w:numFmt w:val="bullet"/>
      <w:lvlText w:val=""/>
      <w:lvlJc w:val="left"/>
      <w:pPr>
        <w:ind w:left="3516" w:hanging="360"/>
      </w:pPr>
      <w:rPr>
        <w:rFonts w:ascii="Symbol" w:hAnsi="Symbol" w:hint="default"/>
      </w:rPr>
    </w:lvl>
    <w:lvl w:ilvl="4" w:tplc="20000003" w:tentative="1">
      <w:start w:val="1"/>
      <w:numFmt w:val="bullet"/>
      <w:lvlText w:val="o"/>
      <w:lvlJc w:val="left"/>
      <w:pPr>
        <w:ind w:left="4236" w:hanging="360"/>
      </w:pPr>
      <w:rPr>
        <w:rFonts w:ascii="Courier New" w:hAnsi="Courier New" w:cs="Courier New" w:hint="default"/>
      </w:rPr>
    </w:lvl>
    <w:lvl w:ilvl="5" w:tplc="20000005" w:tentative="1">
      <w:start w:val="1"/>
      <w:numFmt w:val="bullet"/>
      <w:lvlText w:val=""/>
      <w:lvlJc w:val="left"/>
      <w:pPr>
        <w:ind w:left="4956" w:hanging="360"/>
      </w:pPr>
      <w:rPr>
        <w:rFonts w:ascii="Wingdings" w:hAnsi="Wingdings" w:hint="default"/>
      </w:rPr>
    </w:lvl>
    <w:lvl w:ilvl="6" w:tplc="20000001" w:tentative="1">
      <w:start w:val="1"/>
      <w:numFmt w:val="bullet"/>
      <w:lvlText w:val=""/>
      <w:lvlJc w:val="left"/>
      <w:pPr>
        <w:ind w:left="5676" w:hanging="360"/>
      </w:pPr>
      <w:rPr>
        <w:rFonts w:ascii="Symbol" w:hAnsi="Symbol" w:hint="default"/>
      </w:rPr>
    </w:lvl>
    <w:lvl w:ilvl="7" w:tplc="20000003" w:tentative="1">
      <w:start w:val="1"/>
      <w:numFmt w:val="bullet"/>
      <w:lvlText w:val="o"/>
      <w:lvlJc w:val="left"/>
      <w:pPr>
        <w:ind w:left="6396" w:hanging="360"/>
      </w:pPr>
      <w:rPr>
        <w:rFonts w:ascii="Courier New" w:hAnsi="Courier New" w:cs="Courier New" w:hint="default"/>
      </w:rPr>
    </w:lvl>
    <w:lvl w:ilvl="8" w:tplc="20000005" w:tentative="1">
      <w:start w:val="1"/>
      <w:numFmt w:val="bullet"/>
      <w:lvlText w:val=""/>
      <w:lvlJc w:val="left"/>
      <w:pPr>
        <w:ind w:left="7116" w:hanging="360"/>
      </w:pPr>
      <w:rPr>
        <w:rFonts w:ascii="Wingdings" w:hAnsi="Wingdings" w:hint="default"/>
      </w:rPr>
    </w:lvl>
  </w:abstractNum>
  <w:abstractNum w:abstractNumId="32">
    <w:nsid w:val="696F0DF3"/>
    <w:multiLevelType w:val="hybridMultilevel"/>
    <w:tmpl w:val="CC0C99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B87F25"/>
    <w:multiLevelType w:val="multilevel"/>
    <w:tmpl w:val="09BC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056C5C"/>
    <w:multiLevelType w:val="multilevel"/>
    <w:tmpl w:val="97A2B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A30CB3"/>
    <w:multiLevelType w:val="multilevel"/>
    <w:tmpl w:val="05B44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7247698B"/>
    <w:multiLevelType w:val="hybridMultilevel"/>
    <w:tmpl w:val="76AE5D9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700D90"/>
    <w:multiLevelType w:val="hybridMultilevel"/>
    <w:tmpl w:val="140A24CE"/>
    <w:lvl w:ilvl="0" w:tplc="4CDC1816">
      <w:start w:val="1"/>
      <w:numFmt w:val="bullet"/>
      <w:lvlText w:val=""/>
      <w:lvlJc w:val="left"/>
      <w:pPr>
        <w:tabs>
          <w:tab w:val="num" w:pos="900"/>
        </w:tabs>
        <w:ind w:left="540" w:hanging="360"/>
      </w:pPr>
      <w:rPr>
        <w:rFonts w:ascii="Symbol" w:hAnsi="Symbol" w:hint="default"/>
      </w:rPr>
    </w:lvl>
    <w:lvl w:ilvl="1" w:tplc="5EF0A10E">
      <w:numFmt w:val="decimal"/>
      <w:lvlText w:val=""/>
      <w:lvlJc w:val="left"/>
    </w:lvl>
    <w:lvl w:ilvl="2" w:tplc="4498D584">
      <w:numFmt w:val="decimal"/>
      <w:lvlText w:val=""/>
      <w:lvlJc w:val="left"/>
    </w:lvl>
    <w:lvl w:ilvl="3" w:tplc="AC70D7AA">
      <w:numFmt w:val="decimal"/>
      <w:lvlText w:val=""/>
      <w:lvlJc w:val="left"/>
    </w:lvl>
    <w:lvl w:ilvl="4" w:tplc="40FECF1A">
      <w:numFmt w:val="decimal"/>
      <w:lvlText w:val=""/>
      <w:lvlJc w:val="left"/>
    </w:lvl>
    <w:lvl w:ilvl="5" w:tplc="97923976">
      <w:numFmt w:val="decimal"/>
      <w:lvlText w:val=""/>
      <w:lvlJc w:val="left"/>
    </w:lvl>
    <w:lvl w:ilvl="6" w:tplc="E714818E">
      <w:numFmt w:val="decimal"/>
      <w:lvlText w:val=""/>
      <w:lvlJc w:val="left"/>
    </w:lvl>
    <w:lvl w:ilvl="7" w:tplc="CC0C8C42">
      <w:numFmt w:val="decimal"/>
      <w:lvlText w:val=""/>
      <w:lvlJc w:val="left"/>
    </w:lvl>
    <w:lvl w:ilvl="8" w:tplc="5232E042">
      <w:numFmt w:val="decimal"/>
      <w:lvlText w:val=""/>
      <w:lvlJc w:val="left"/>
    </w:lvl>
  </w:abstractNum>
  <w:abstractNum w:abstractNumId="38">
    <w:nsid w:val="73903A0D"/>
    <w:multiLevelType w:val="multilevel"/>
    <w:tmpl w:val="7A82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7"/>
  </w:num>
  <w:num w:numId="3">
    <w:abstractNumId w:val="9"/>
  </w:num>
  <w:num w:numId="4">
    <w:abstractNumId w:val="18"/>
  </w:num>
  <w:num w:numId="5">
    <w:abstractNumId w:val="35"/>
  </w:num>
  <w:num w:numId="6">
    <w:abstractNumId w:val="15"/>
  </w:num>
  <w:num w:numId="7">
    <w:abstractNumId w:val="12"/>
  </w:num>
  <w:num w:numId="8">
    <w:abstractNumId w:val="2"/>
  </w:num>
  <w:num w:numId="9">
    <w:abstractNumId w:val="11"/>
  </w:num>
  <w:num w:numId="10">
    <w:abstractNumId w:val="16"/>
  </w:num>
  <w:num w:numId="11">
    <w:abstractNumId w:val="25"/>
  </w:num>
  <w:num w:numId="12">
    <w:abstractNumId w:val="29"/>
  </w:num>
  <w:num w:numId="13">
    <w:abstractNumId w:val="21"/>
  </w:num>
  <w:num w:numId="14">
    <w:abstractNumId w:val="4"/>
  </w:num>
  <w:num w:numId="15">
    <w:abstractNumId w:val="23"/>
  </w:num>
  <w:num w:numId="16">
    <w:abstractNumId w:val="24"/>
  </w:num>
  <w:num w:numId="17">
    <w:abstractNumId w:val="31"/>
  </w:num>
  <w:num w:numId="18">
    <w:abstractNumId w:val="10"/>
  </w:num>
  <w:num w:numId="19">
    <w:abstractNumId w:val="30"/>
  </w:num>
  <w:num w:numId="20">
    <w:abstractNumId w:val="7"/>
  </w:num>
  <w:num w:numId="21">
    <w:abstractNumId w:val="3"/>
  </w:num>
  <w:num w:numId="22">
    <w:abstractNumId w:val="37"/>
  </w:num>
  <w:num w:numId="23">
    <w:abstractNumId w:val="34"/>
  </w:num>
  <w:num w:numId="24">
    <w:abstractNumId w:val="26"/>
  </w:num>
  <w:num w:numId="25">
    <w:abstractNumId w:val="5"/>
  </w:num>
  <w:num w:numId="26">
    <w:abstractNumId w:val="0"/>
  </w:num>
  <w:num w:numId="27">
    <w:abstractNumId w:val="19"/>
  </w:num>
  <w:num w:numId="28">
    <w:abstractNumId w:val="1"/>
  </w:num>
  <w:num w:numId="29">
    <w:abstractNumId w:val="17"/>
  </w:num>
  <w:num w:numId="30">
    <w:abstractNumId w:val="20"/>
  </w:num>
  <w:num w:numId="31">
    <w:abstractNumId w:val="22"/>
  </w:num>
  <w:num w:numId="32">
    <w:abstractNumId w:val="33"/>
  </w:num>
  <w:num w:numId="33">
    <w:abstractNumId w:val="13"/>
  </w:num>
  <w:num w:numId="34">
    <w:abstractNumId w:val="14"/>
  </w:num>
  <w:num w:numId="35">
    <w:abstractNumId w:val="38"/>
  </w:num>
  <w:num w:numId="36">
    <w:abstractNumId w:val="36"/>
  </w:num>
  <w:num w:numId="37">
    <w:abstractNumId w:val="32"/>
  </w:num>
  <w:num w:numId="38">
    <w:abstractNumId w:val="28"/>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75"/>
    <w:rsid w:val="00025908"/>
    <w:rsid w:val="000B444C"/>
    <w:rsid w:val="000C0537"/>
    <w:rsid w:val="000C213A"/>
    <w:rsid w:val="0013727A"/>
    <w:rsid w:val="001859BD"/>
    <w:rsid w:val="00195E08"/>
    <w:rsid w:val="001B3D58"/>
    <w:rsid w:val="001C3A0F"/>
    <w:rsid w:val="001E7D27"/>
    <w:rsid w:val="002157F5"/>
    <w:rsid w:val="00227E8F"/>
    <w:rsid w:val="002319DC"/>
    <w:rsid w:val="00235DD2"/>
    <w:rsid w:val="0023768F"/>
    <w:rsid w:val="00251DBF"/>
    <w:rsid w:val="00264AFA"/>
    <w:rsid w:val="002A4AA2"/>
    <w:rsid w:val="00312BA8"/>
    <w:rsid w:val="003238AD"/>
    <w:rsid w:val="00344B5C"/>
    <w:rsid w:val="00380CB0"/>
    <w:rsid w:val="00380D5F"/>
    <w:rsid w:val="003944E0"/>
    <w:rsid w:val="003B0C0C"/>
    <w:rsid w:val="003E36FE"/>
    <w:rsid w:val="00422810"/>
    <w:rsid w:val="00434919"/>
    <w:rsid w:val="00441019"/>
    <w:rsid w:val="00450E82"/>
    <w:rsid w:val="00465EB0"/>
    <w:rsid w:val="004E18B9"/>
    <w:rsid w:val="004E1E17"/>
    <w:rsid w:val="00570A6D"/>
    <w:rsid w:val="005868B7"/>
    <w:rsid w:val="00595671"/>
    <w:rsid w:val="005A7BC7"/>
    <w:rsid w:val="005B4AB9"/>
    <w:rsid w:val="005D7D4F"/>
    <w:rsid w:val="00600FE9"/>
    <w:rsid w:val="00633764"/>
    <w:rsid w:val="006460B9"/>
    <w:rsid w:val="006D2B8B"/>
    <w:rsid w:val="006D351A"/>
    <w:rsid w:val="00723710"/>
    <w:rsid w:val="00745C54"/>
    <w:rsid w:val="00793E8E"/>
    <w:rsid w:val="007B689A"/>
    <w:rsid w:val="007E3B3E"/>
    <w:rsid w:val="008004AD"/>
    <w:rsid w:val="008214DF"/>
    <w:rsid w:val="008468FB"/>
    <w:rsid w:val="00855636"/>
    <w:rsid w:val="0086440D"/>
    <w:rsid w:val="008B1F3D"/>
    <w:rsid w:val="008B65E6"/>
    <w:rsid w:val="008D1B0D"/>
    <w:rsid w:val="0090256D"/>
    <w:rsid w:val="0090345F"/>
    <w:rsid w:val="00907F75"/>
    <w:rsid w:val="0092189D"/>
    <w:rsid w:val="009521E4"/>
    <w:rsid w:val="00983D83"/>
    <w:rsid w:val="009D24B2"/>
    <w:rsid w:val="00A03CB3"/>
    <w:rsid w:val="00A8541D"/>
    <w:rsid w:val="00AD5345"/>
    <w:rsid w:val="00B0438F"/>
    <w:rsid w:val="00B05768"/>
    <w:rsid w:val="00B21EED"/>
    <w:rsid w:val="00B62DAA"/>
    <w:rsid w:val="00B7453B"/>
    <w:rsid w:val="00B82D09"/>
    <w:rsid w:val="00BC4478"/>
    <w:rsid w:val="00BE2BE2"/>
    <w:rsid w:val="00C80515"/>
    <w:rsid w:val="00D51DE7"/>
    <w:rsid w:val="00D80FE4"/>
    <w:rsid w:val="00DB26FA"/>
    <w:rsid w:val="00DB5C0D"/>
    <w:rsid w:val="00E27ABD"/>
    <w:rsid w:val="00E432BC"/>
    <w:rsid w:val="00E55C0C"/>
    <w:rsid w:val="00E65F69"/>
    <w:rsid w:val="00EE5B6F"/>
    <w:rsid w:val="00EF4BFF"/>
    <w:rsid w:val="00F23BF6"/>
    <w:rsid w:val="00F336FC"/>
    <w:rsid w:val="00F61DED"/>
    <w:rsid w:val="00F90147"/>
    <w:rsid w:val="00F961DF"/>
    <w:rsid w:val="00FE3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367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67"/>
    <w:rPr>
      <w:lang w:eastAsia="sl-SI"/>
    </w:rPr>
  </w:style>
  <w:style w:type="paragraph" w:styleId="Heading1">
    <w:name w:val="heading 1"/>
    <w:basedOn w:val="Normal"/>
    <w:next w:val="Normal"/>
    <w:link w:val="Heading1Char"/>
    <w:uiPriority w:val="9"/>
    <w:qFormat/>
    <w:rsid w:val="002C1167"/>
    <w:pPr>
      <w:keepNext/>
      <w:numPr>
        <w:numId w:val="9"/>
      </w:numPr>
      <w:spacing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C1167"/>
    <w:pPr>
      <w:keepNext/>
      <w:numPr>
        <w:ilvl w:val="1"/>
        <w:numId w:val="9"/>
      </w:numPr>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2C1167"/>
    <w:pPr>
      <w:keepNext/>
      <w:numPr>
        <w:ilvl w:val="2"/>
        <w:numId w:val="9"/>
      </w:numPr>
      <w:spacing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C1167"/>
    <w:pPr>
      <w:keepNext/>
      <w:numPr>
        <w:ilvl w:val="3"/>
        <w:numId w:val="9"/>
      </w:numPr>
      <w:spacing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C1167"/>
    <w:pPr>
      <w:numPr>
        <w:ilvl w:val="4"/>
        <w:numId w:val="9"/>
      </w:numPr>
      <w:spacing w:after="60"/>
      <w:ind w:right="113"/>
      <w:outlineLvl w:val="4"/>
    </w:pPr>
    <w:rPr>
      <w:b/>
      <w:bCs/>
      <w:iCs/>
      <w:szCs w:val="26"/>
    </w:rPr>
  </w:style>
  <w:style w:type="paragraph" w:styleId="Heading6">
    <w:name w:val="heading 6"/>
    <w:basedOn w:val="Normal"/>
    <w:next w:val="Normal"/>
    <w:link w:val="Heading6Char"/>
    <w:uiPriority w:val="9"/>
    <w:semiHidden/>
    <w:unhideWhenUsed/>
    <w:qFormat/>
    <w:rsid w:val="002C1167"/>
    <w:pPr>
      <w:numPr>
        <w:ilvl w:val="5"/>
        <w:numId w:val="9"/>
      </w:numPr>
      <w:spacing w:after="60"/>
      <w:outlineLvl w:val="5"/>
    </w:pPr>
    <w:rPr>
      <w:b/>
      <w:bCs/>
      <w:sz w:val="22"/>
      <w:szCs w:val="22"/>
    </w:rPr>
  </w:style>
  <w:style w:type="paragraph" w:styleId="Heading7">
    <w:name w:val="heading 7"/>
    <w:basedOn w:val="Normal"/>
    <w:next w:val="Normal"/>
    <w:link w:val="Heading7Char"/>
    <w:qFormat/>
    <w:rsid w:val="002C1167"/>
    <w:pPr>
      <w:numPr>
        <w:ilvl w:val="6"/>
        <w:numId w:val="9"/>
      </w:numPr>
      <w:spacing w:after="60"/>
      <w:outlineLvl w:val="6"/>
    </w:pPr>
  </w:style>
  <w:style w:type="paragraph" w:styleId="Heading8">
    <w:name w:val="heading 8"/>
    <w:basedOn w:val="Normal"/>
    <w:next w:val="Normal"/>
    <w:link w:val="Heading8Char"/>
    <w:qFormat/>
    <w:rsid w:val="002C1167"/>
    <w:pPr>
      <w:numPr>
        <w:ilvl w:val="7"/>
        <w:numId w:val="9"/>
      </w:numPr>
      <w:spacing w:after="60"/>
      <w:outlineLvl w:val="7"/>
    </w:pPr>
    <w:rPr>
      <w:i/>
      <w:iCs/>
    </w:rPr>
  </w:style>
  <w:style w:type="paragraph" w:styleId="Heading9">
    <w:name w:val="heading 9"/>
    <w:basedOn w:val="Normal"/>
    <w:next w:val="Normal"/>
    <w:link w:val="Heading9Char"/>
    <w:qFormat/>
    <w:rsid w:val="002C1167"/>
    <w:pPr>
      <w:numPr>
        <w:ilvl w:val="8"/>
        <w:numId w:val="9"/>
      </w:numPr>
      <w:spacing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2C1167"/>
    <w:rPr>
      <w:rFonts w:ascii="Arial" w:hAnsi="Arial" w:cs="Arial"/>
      <w:b/>
      <w:bCs/>
      <w:kern w:val="32"/>
      <w:sz w:val="32"/>
      <w:szCs w:val="32"/>
    </w:rPr>
  </w:style>
  <w:style w:type="character" w:customStyle="1" w:styleId="Heading2Char">
    <w:name w:val="Heading 2 Char"/>
    <w:link w:val="Heading2"/>
    <w:rsid w:val="002C1167"/>
    <w:rPr>
      <w:rFonts w:ascii="Arial" w:hAnsi="Arial" w:cs="Arial"/>
      <w:b/>
      <w:bCs/>
      <w:i/>
      <w:iCs/>
      <w:sz w:val="28"/>
      <w:szCs w:val="28"/>
    </w:rPr>
  </w:style>
  <w:style w:type="character" w:customStyle="1" w:styleId="Heading3Char">
    <w:name w:val="Heading 3 Char"/>
    <w:link w:val="Heading3"/>
    <w:rsid w:val="002C1167"/>
    <w:rPr>
      <w:rFonts w:ascii="Arial" w:hAnsi="Arial" w:cs="Arial"/>
      <w:b/>
      <w:bCs/>
      <w:sz w:val="26"/>
      <w:szCs w:val="26"/>
    </w:rPr>
  </w:style>
  <w:style w:type="character" w:customStyle="1" w:styleId="Heading4Char">
    <w:name w:val="Heading 4 Char"/>
    <w:link w:val="Heading4"/>
    <w:uiPriority w:val="9"/>
    <w:rsid w:val="002C1167"/>
    <w:rPr>
      <w:rFonts w:ascii="Calibri" w:hAnsi="Calibri"/>
      <w:b/>
      <w:bCs/>
      <w:sz w:val="28"/>
      <w:szCs w:val="28"/>
    </w:rPr>
  </w:style>
  <w:style w:type="character" w:customStyle="1" w:styleId="Heading5Char">
    <w:name w:val="Heading 5 Char"/>
    <w:link w:val="Heading5"/>
    <w:rsid w:val="002C1167"/>
    <w:rPr>
      <w:b/>
      <w:bCs/>
      <w:iCs/>
      <w:sz w:val="24"/>
      <w:szCs w:val="26"/>
    </w:rPr>
  </w:style>
  <w:style w:type="character" w:customStyle="1" w:styleId="Heading6Char">
    <w:name w:val="Heading 6 Char"/>
    <w:link w:val="Heading6"/>
    <w:rsid w:val="002C1167"/>
    <w:rPr>
      <w:b/>
      <w:bCs/>
      <w:sz w:val="22"/>
      <w:szCs w:val="22"/>
    </w:rPr>
  </w:style>
  <w:style w:type="character" w:customStyle="1" w:styleId="Heading7Char">
    <w:name w:val="Heading 7 Char"/>
    <w:link w:val="Heading7"/>
    <w:rsid w:val="002C1167"/>
    <w:rPr>
      <w:sz w:val="24"/>
      <w:szCs w:val="24"/>
    </w:rPr>
  </w:style>
  <w:style w:type="character" w:customStyle="1" w:styleId="Heading8Char">
    <w:name w:val="Heading 8 Char"/>
    <w:link w:val="Heading8"/>
    <w:rsid w:val="002C1167"/>
    <w:rPr>
      <w:i/>
      <w:iCs/>
      <w:sz w:val="24"/>
      <w:szCs w:val="24"/>
    </w:rPr>
  </w:style>
  <w:style w:type="character" w:customStyle="1" w:styleId="Heading9Char">
    <w:name w:val="Heading 9 Char"/>
    <w:link w:val="Heading9"/>
    <w:rsid w:val="002C1167"/>
    <w:rPr>
      <w:rFonts w:ascii="Arial" w:hAnsi="Arial" w:cs="Arial"/>
      <w:sz w:val="22"/>
      <w:szCs w:val="22"/>
    </w:rPr>
  </w:style>
  <w:style w:type="character" w:styleId="Strong">
    <w:name w:val="Strong"/>
    <w:uiPriority w:val="22"/>
    <w:qFormat/>
    <w:rsid w:val="002C1167"/>
    <w:rPr>
      <w:b/>
      <w:bCs/>
    </w:rPr>
  </w:style>
  <w:style w:type="character" w:styleId="Emphasis">
    <w:name w:val="Emphasis"/>
    <w:uiPriority w:val="20"/>
    <w:qFormat/>
    <w:rsid w:val="002C1167"/>
    <w:rPr>
      <w:b/>
      <w:bCs/>
      <w:i w:val="0"/>
      <w:iCs w:val="0"/>
    </w:rPr>
  </w:style>
  <w:style w:type="paragraph" w:styleId="Header">
    <w:name w:val="header"/>
    <w:basedOn w:val="Normal"/>
    <w:link w:val="HeaderChar"/>
    <w:unhideWhenUsed/>
    <w:rsid w:val="00ED3094"/>
    <w:pPr>
      <w:tabs>
        <w:tab w:val="center" w:pos="4536"/>
        <w:tab w:val="right" w:pos="9072"/>
      </w:tabs>
      <w:spacing w:before="0" w:after="0"/>
    </w:pPr>
  </w:style>
  <w:style w:type="character" w:customStyle="1" w:styleId="HeaderChar">
    <w:name w:val="Header Char"/>
    <w:link w:val="Header"/>
    <w:rsid w:val="00ED3094"/>
    <w:rPr>
      <w:sz w:val="24"/>
      <w:szCs w:val="24"/>
    </w:rPr>
  </w:style>
  <w:style w:type="paragraph" w:styleId="Footer">
    <w:name w:val="footer"/>
    <w:basedOn w:val="Normal"/>
    <w:link w:val="FooterChar"/>
    <w:uiPriority w:val="99"/>
    <w:unhideWhenUsed/>
    <w:rsid w:val="00ED3094"/>
    <w:pPr>
      <w:tabs>
        <w:tab w:val="center" w:pos="4536"/>
        <w:tab w:val="right" w:pos="9072"/>
      </w:tabs>
      <w:spacing w:before="0" w:after="0"/>
    </w:pPr>
  </w:style>
  <w:style w:type="character" w:customStyle="1" w:styleId="FooterChar">
    <w:name w:val="Footer Char"/>
    <w:link w:val="Footer"/>
    <w:uiPriority w:val="99"/>
    <w:rsid w:val="00ED3094"/>
    <w:rPr>
      <w:sz w:val="24"/>
      <w:szCs w:val="24"/>
    </w:rPr>
  </w:style>
  <w:style w:type="paragraph" w:styleId="BalloonText">
    <w:name w:val="Balloon Text"/>
    <w:basedOn w:val="Normal"/>
    <w:link w:val="BalloonTextChar"/>
    <w:uiPriority w:val="99"/>
    <w:semiHidden/>
    <w:unhideWhenUsed/>
    <w:rsid w:val="00ED3094"/>
    <w:pPr>
      <w:spacing w:before="0" w:after="0"/>
    </w:pPr>
    <w:rPr>
      <w:rFonts w:ascii="Tahoma" w:hAnsi="Tahoma" w:cs="Tahoma"/>
      <w:sz w:val="16"/>
      <w:szCs w:val="16"/>
    </w:rPr>
  </w:style>
  <w:style w:type="character" w:customStyle="1" w:styleId="BalloonTextChar">
    <w:name w:val="Balloon Text Char"/>
    <w:link w:val="BalloonText"/>
    <w:uiPriority w:val="99"/>
    <w:semiHidden/>
    <w:rsid w:val="00ED3094"/>
    <w:rPr>
      <w:rFonts w:ascii="Tahoma" w:hAnsi="Tahoma" w:cs="Tahoma"/>
      <w:sz w:val="16"/>
      <w:szCs w:val="16"/>
    </w:rPr>
  </w:style>
  <w:style w:type="paragraph" w:styleId="ListParagraph">
    <w:name w:val="List Paragraph"/>
    <w:basedOn w:val="Normal"/>
    <w:uiPriority w:val="34"/>
    <w:qFormat/>
    <w:rsid w:val="007C3EF3"/>
    <w:pPr>
      <w:ind w:left="720"/>
      <w:contextualSpacing/>
    </w:pPr>
  </w:style>
  <w:style w:type="table" w:customStyle="1" w:styleId="GridTable3Accent3">
    <w:name w:val="Grid Table 3 Accent 3"/>
    <w:basedOn w:val="TableNormal"/>
    <w:uiPriority w:val="48"/>
    <w:rsid w:val="002321F4"/>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Hyperlink">
    <w:name w:val="Hyperlink"/>
    <w:basedOn w:val="DefaultParagraphFont"/>
    <w:uiPriority w:val="99"/>
    <w:unhideWhenUsed/>
    <w:rsid w:val="009521E4"/>
    <w:rPr>
      <w:color w:val="0563C1" w:themeColor="hyperlink"/>
      <w:u w:val="single"/>
    </w:rPr>
  </w:style>
  <w:style w:type="character" w:customStyle="1" w:styleId="UnresolvedMention">
    <w:name w:val="Unresolved Mention"/>
    <w:basedOn w:val="DefaultParagraphFont"/>
    <w:uiPriority w:val="99"/>
    <w:semiHidden/>
    <w:unhideWhenUsed/>
    <w:rsid w:val="009521E4"/>
    <w:rPr>
      <w:color w:val="605E5C"/>
      <w:shd w:val="clear" w:color="auto" w:fill="E1DFDD"/>
    </w:rPr>
  </w:style>
  <w:style w:type="paragraph" w:styleId="NoSpacing">
    <w:name w:val="No Spacing"/>
    <w:uiPriority w:val="1"/>
    <w:qFormat/>
    <w:rsid w:val="00380CB0"/>
    <w:pPr>
      <w:spacing w:before="0" w:after="0"/>
    </w:pPr>
    <w:rPr>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pPr>
        <w:spacing w:before="24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67"/>
    <w:rPr>
      <w:lang w:eastAsia="sl-SI"/>
    </w:rPr>
  </w:style>
  <w:style w:type="paragraph" w:styleId="Heading1">
    <w:name w:val="heading 1"/>
    <w:basedOn w:val="Normal"/>
    <w:next w:val="Normal"/>
    <w:link w:val="Heading1Char"/>
    <w:uiPriority w:val="9"/>
    <w:qFormat/>
    <w:rsid w:val="002C1167"/>
    <w:pPr>
      <w:keepNext/>
      <w:numPr>
        <w:numId w:val="9"/>
      </w:numPr>
      <w:spacing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2C1167"/>
    <w:pPr>
      <w:keepNext/>
      <w:numPr>
        <w:ilvl w:val="1"/>
        <w:numId w:val="9"/>
      </w:numPr>
      <w:spacing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2C1167"/>
    <w:pPr>
      <w:keepNext/>
      <w:numPr>
        <w:ilvl w:val="2"/>
        <w:numId w:val="9"/>
      </w:numPr>
      <w:spacing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C1167"/>
    <w:pPr>
      <w:keepNext/>
      <w:numPr>
        <w:ilvl w:val="3"/>
        <w:numId w:val="9"/>
      </w:numPr>
      <w:spacing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C1167"/>
    <w:pPr>
      <w:numPr>
        <w:ilvl w:val="4"/>
        <w:numId w:val="9"/>
      </w:numPr>
      <w:spacing w:after="60"/>
      <w:ind w:right="113"/>
      <w:outlineLvl w:val="4"/>
    </w:pPr>
    <w:rPr>
      <w:b/>
      <w:bCs/>
      <w:iCs/>
      <w:szCs w:val="26"/>
    </w:rPr>
  </w:style>
  <w:style w:type="paragraph" w:styleId="Heading6">
    <w:name w:val="heading 6"/>
    <w:basedOn w:val="Normal"/>
    <w:next w:val="Normal"/>
    <w:link w:val="Heading6Char"/>
    <w:uiPriority w:val="9"/>
    <w:semiHidden/>
    <w:unhideWhenUsed/>
    <w:qFormat/>
    <w:rsid w:val="002C1167"/>
    <w:pPr>
      <w:numPr>
        <w:ilvl w:val="5"/>
        <w:numId w:val="9"/>
      </w:numPr>
      <w:spacing w:after="60"/>
      <w:outlineLvl w:val="5"/>
    </w:pPr>
    <w:rPr>
      <w:b/>
      <w:bCs/>
      <w:sz w:val="22"/>
      <w:szCs w:val="22"/>
    </w:rPr>
  </w:style>
  <w:style w:type="paragraph" w:styleId="Heading7">
    <w:name w:val="heading 7"/>
    <w:basedOn w:val="Normal"/>
    <w:next w:val="Normal"/>
    <w:link w:val="Heading7Char"/>
    <w:qFormat/>
    <w:rsid w:val="002C1167"/>
    <w:pPr>
      <w:numPr>
        <w:ilvl w:val="6"/>
        <w:numId w:val="9"/>
      </w:numPr>
      <w:spacing w:after="60"/>
      <w:outlineLvl w:val="6"/>
    </w:pPr>
  </w:style>
  <w:style w:type="paragraph" w:styleId="Heading8">
    <w:name w:val="heading 8"/>
    <w:basedOn w:val="Normal"/>
    <w:next w:val="Normal"/>
    <w:link w:val="Heading8Char"/>
    <w:qFormat/>
    <w:rsid w:val="002C1167"/>
    <w:pPr>
      <w:numPr>
        <w:ilvl w:val="7"/>
        <w:numId w:val="9"/>
      </w:numPr>
      <w:spacing w:after="60"/>
      <w:outlineLvl w:val="7"/>
    </w:pPr>
    <w:rPr>
      <w:i/>
      <w:iCs/>
    </w:rPr>
  </w:style>
  <w:style w:type="paragraph" w:styleId="Heading9">
    <w:name w:val="heading 9"/>
    <w:basedOn w:val="Normal"/>
    <w:next w:val="Normal"/>
    <w:link w:val="Heading9Char"/>
    <w:qFormat/>
    <w:rsid w:val="002C1167"/>
    <w:pPr>
      <w:numPr>
        <w:ilvl w:val="8"/>
        <w:numId w:val="9"/>
      </w:numPr>
      <w:spacing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sid w:val="002C1167"/>
    <w:rPr>
      <w:rFonts w:ascii="Arial" w:hAnsi="Arial" w:cs="Arial"/>
      <w:b/>
      <w:bCs/>
      <w:kern w:val="32"/>
      <w:sz w:val="32"/>
      <w:szCs w:val="32"/>
    </w:rPr>
  </w:style>
  <w:style w:type="character" w:customStyle="1" w:styleId="Heading2Char">
    <w:name w:val="Heading 2 Char"/>
    <w:link w:val="Heading2"/>
    <w:rsid w:val="002C1167"/>
    <w:rPr>
      <w:rFonts w:ascii="Arial" w:hAnsi="Arial" w:cs="Arial"/>
      <w:b/>
      <w:bCs/>
      <w:i/>
      <w:iCs/>
      <w:sz w:val="28"/>
      <w:szCs w:val="28"/>
    </w:rPr>
  </w:style>
  <w:style w:type="character" w:customStyle="1" w:styleId="Heading3Char">
    <w:name w:val="Heading 3 Char"/>
    <w:link w:val="Heading3"/>
    <w:rsid w:val="002C1167"/>
    <w:rPr>
      <w:rFonts w:ascii="Arial" w:hAnsi="Arial" w:cs="Arial"/>
      <w:b/>
      <w:bCs/>
      <w:sz w:val="26"/>
      <w:szCs w:val="26"/>
    </w:rPr>
  </w:style>
  <w:style w:type="character" w:customStyle="1" w:styleId="Heading4Char">
    <w:name w:val="Heading 4 Char"/>
    <w:link w:val="Heading4"/>
    <w:uiPriority w:val="9"/>
    <w:rsid w:val="002C1167"/>
    <w:rPr>
      <w:rFonts w:ascii="Calibri" w:hAnsi="Calibri"/>
      <w:b/>
      <w:bCs/>
      <w:sz w:val="28"/>
      <w:szCs w:val="28"/>
    </w:rPr>
  </w:style>
  <w:style w:type="character" w:customStyle="1" w:styleId="Heading5Char">
    <w:name w:val="Heading 5 Char"/>
    <w:link w:val="Heading5"/>
    <w:rsid w:val="002C1167"/>
    <w:rPr>
      <w:b/>
      <w:bCs/>
      <w:iCs/>
      <w:sz w:val="24"/>
      <w:szCs w:val="26"/>
    </w:rPr>
  </w:style>
  <w:style w:type="character" w:customStyle="1" w:styleId="Heading6Char">
    <w:name w:val="Heading 6 Char"/>
    <w:link w:val="Heading6"/>
    <w:rsid w:val="002C1167"/>
    <w:rPr>
      <w:b/>
      <w:bCs/>
      <w:sz w:val="22"/>
      <w:szCs w:val="22"/>
    </w:rPr>
  </w:style>
  <w:style w:type="character" w:customStyle="1" w:styleId="Heading7Char">
    <w:name w:val="Heading 7 Char"/>
    <w:link w:val="Heading7"/>
    <w:rsid w:val="002C1167"/>
    <w:rPr>
      <w:sz w:val="24"/>
      <w:szCs w:val="24"/>
    </w:rPr>
  </w:style>
  <w:style w:type="character" w:customStyle="1" w:styleId="Heading8Char">
    <w:name w:val="Heading 8 Char"/>
    <w:link w:val="Heading8"/>
    <w:rsid w:val="002C1167"/>
    <w:rPr>
      <w:i/>
      <w:iCs/>
      <w:sz w:val="24"/>
      <w:szCs w:val="24"/>
    </w:rPr>
  </w:style>
  <w:style w:type="character" w:customStyle="1" w:styleId="Heading9Char">
    <w:name w:val="Heading 9 Char"/>
    <w:link w:val="Heading9"/>
    <w:rsid w:val="002C1167"/>
    <w:rPr>
      <w:rFonts w:ascii="Arial" w:hAnsi="Arial" w:cs="Arial"/>
      <w:sz w:val="22"/>
      <w:szCs w:val="22"/>
    </w:rPr>
  </w:style>
  <w:style w:type="character" w:styleId="Strong">
    <w:name w:val="Strong"/>
    <w:uiPriority w:val="22"/>
    <w:qFormat/>
    <w:rsid w:val="002C1167"/>
    <w:rPr>
      <w:b/>
      <w:bCs/>
    </w:rPr>
  </w:style>
  <w:style w:type="character" w:styleId="Emphasis">
    <w:name w:val="Emphasis"/>
    <w:uiPriority w:val="20"/>
    <w:qFormat/>
    <w:rsid w:val="002C1167"/>
    <w:rPr>
      <w:b/>
      <w:bCs/>
      <w:i w:val="0"/>
      <w:iCs w:val="0"/>
    </w:rPr>
  </w:style>
  <w:style w:type="paragraph" w:styleId="Header">
    <w:name w:val="header"/>
    <w:basedOn w:val="Normal"/>
    <w:link w:val="HeaderChar"/>
    <w:unhideWhenUsed/>
    <w:rsid w:val="00ED3094"/>
    <w:pPr>
      <w:tabs>
        <w:tab w:val="center" w:pos="4536"/>
        <w:tab w:val="right" w:pos="9072"/>
      </w:tabs>
      <w:spacing w:before="0" w:after="0"/>
    </w:pPr>
  </w:style>
  <w:style w:type="character" w:customStyle="1" w:styleId="HeaderChar">
    <w:name w:val="Header Char"/>
    <w:link w:val="Header"/>
    <w:rsid w:val="00ED3094"/>
    <w:rPr>
      <w:sz w:val="24"/>
      <w:szCs w:val="24"/>
    </w:rPr>
  </w:style>
  <w:style w:type="paragraph" w:styleId="Footer">
    <w:name w:val="footer"/>
    <w:basedOn w:val="Normal"/>
    <w:link w:val="FooterChar"/>
    <w:uiPriority w:val="99"/>
    <w:unhideWhenUsed/>
    <w:rsid w:val="00ED3094"/>
    <w:pPr>
      <w:tabs>
        <w:tab w:val="center" w:pos="4536"/>
        <w:tab w:val="right" w:pos="9072"/>
      </w:tabs>
      <w:spacing w:before="0" w:after="0"/>
    </w:pPr>
  </w:style>
  <w:style w:type="character" w:customStyle="1" w:styleId="FooterChar">
    <w:name w:val="Footer Char"/>
    <w:link w:val="Footer"/>
    <w:uiPriority w:val="99"/>
    <w:rsid w:val="00ED3094"/>
    <w:rPr>
      <w:sz w:val="24"/>
      <w:szCs w:val="24"/>
    </w:rPr>
  </w:style>
  <w:style w:type="paragraph" w:styleId="BalloonText">
    <w:name w:val="Balloon Text"/>
    <w:basedOn w:val="Normal"/>
    <w:link w:val="BalloonTextChar"/>
    <w:uiPriority w:val="99"/>
    <w:semiHidden/>
    <w:unhideWhenUsed/>
    <w:rsid w:val="00ED3094"/>
    <w:pPr>
      <w:spacing w:before="0" w:after="0"/>
    </w:pPr>
    <w:rPr>
      <w:rFonts w:ascii="Tahoma" w:hAnsi="Tahoma" w:cs="Tahoma"/>
      <w:sz w:val="16"/>
      <w:szCs w:val="16"/>
    </w:rPr>
  </w:style>
  <w:style w:type="character" w:customStyle="1" w:styleId="BalloonTextChar">
    <w:name w:val="Balloon Text Char"/>
    <w:link w:val="BalloonText"/>
    <w:uiPriority w:val="99"/>
    <w:semiHidden/>
    <w:rsid w:val="00ED3094"/>
    <w:rPr>
      <w:rFonts w:ascii="Tahoma" w:hAnsi="Tahoma" w:cs="Tahoma"/>
      <w:sz w:val="16"/>
      <w:szCs w:val="16"/>
    </w:rPr>
  </w:style>
  <w:style w:type="paragraph" w:styleId="ListParagraph">
    <w:name w:val="List Paragraph"/>
    <w:basedOn w:val="Normal"/>
    <w:uiPriority w:val="34"/>
    <w:qFormat/>
    <w:rsid w:val="007C3EF3"/>
    <w:pPr>
      <w:ind w:left="720"/>
      <w:contextualSpacing/>
    </w:pPr>
  </w:style>
  <w:style w:type="table" w:customStyle="1" w:styleId="GridTable3Accent3">
    <w:name w:val="Grid Table 3 Accent 3"/>
    <w:basedOn w:val="TableNormal"/>
    <w:uiPriority w:val="48"/>
    <w:rsid w:val="002321F4"/>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Hyperlink">
    <w:name w:val="Hyperlink"/>
    <w:basedOn w:val="DefaultParagraphFont"/>
    <w:uiPriority w:val="99"/>
    <w:unhideWhenUsed/>
    <w:rsid w:val="009521E4"/>
    <w:rPr>
      <w:color w:val="0563C1" w:themeColor="hyperlink"/>
      <w:u w:val="single"/>
    </w:rPr>
  </w:style>
  <w:style w:type="character" w:customStyle="1" w:styleId="UnresolvedMention">
    <w:name w:val="Unresolved Mention"/>
    <w:basedOn w:val="DefaultParagraphFont"/>
    <w:uiPriority w:val="99"/>
    <w:semiHidden/>
    <w:unhideWhenUsed/>
    <w:rsid w:val="009521E4"/>
    <w:rPr>
      <w:color w:val="605E5C"/>
      <w:shd w:val="clear" w:color="auto" w:fill="E1DFDD"/>
    </w:rPr>
  </w:style>
  <w:style w:type="paragraph" w:styleId="NoSpacing">
    <w:name w:val="No Spacing"/>
    <w:uiPriority w:val="1"/>
    <w:qFormat/>
    <w:rsid w:val="00380CB0"/>
    <w:pPr>
      <w:spacing w:before="0" w:after="0"/>
    </w:pPr>
    <w:rPr>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51979">
      <w:bodyDiv w:val="1"/>
      <w:marLeft w:val="0"/>
      <w:marRight w:val="0"/>
      <w:marTop w:val="0"/>
      <w:marBottom w:val="0"/>
      <w:divBdr>
        <w:top w:val="none" w:sz="0" w:space="0" w:color="auto"/>
        <w:left w:val="none" w:sz="0" w:space="0" w:color="auto"/>
        <w:bottom w:val="none" w:sz="0" w:space="0" w:color="auto"/>
        <w:right w:val="none" w:sz="0" w:space="0" w:color="auto"/>
      </w:divBdr>
    </w:div>
    <w:div w:id="455680409">
      <w:bodyDiv w:val="1"/>
      <w:marLeft w:val="0"/>
      <w:marRight w:val="0"/>
      <w:marTop w:val="0"/>
      <w:marBottom w:val="0"/>
      <w:divBdr>
        <w:top w:val="none" w:sz="0" w:space="0" w:color="auto"/>
        <w:left w:val="none" w:sz="0" w:space="0" w:color="auto"/>
        <w:bottom w:val="none" w:sz="0" w:space="0" w:color="auto"/>
        <w:right w:val="none" w:sz="0" w:space="0" w:color="auto"/>
      </w:divBdr>
    </w:div>
    <w:div w:id="602421041">
      <w:bodyDiv w:val="1"/>
      <w:marLeft w:val="0"/>
      <w:marRight w:val="0"/>
      <w:marTop w:val="0"/>
      <w:marBottom w:val="0"/>
      <w:divBdr>
        <w:top w:val="none" w:sz="0" w:space="0" w:color="auto"/>
        <w:left w:val="none" w:sz="0" w:space="0" w:color="auto"/>
        <w:bottom w:val="none" w:sz="0" w:space="0" w:color="auto"/>
        <w:right w:val="none" w:sz="0" w:space="0" w:color="auto"/>
      </w:divBdr>
    </w:div>
    <w:div w:id="721517739">
      <w:bodyDiv w:val="1"/>
      <w:marLeft w:val="0"/>
      <w:marRight w:val="0"/>
      <w:marTop w:val="0"/>
      <w:marBottom w:val="0"/>
      <w:divBdr>
        <w:top w:val="none" w:sz="0" w:space="0" w:color="auto"/>
        <w:left w:val="none" w:sz="0" w:space="0" w:color="auto"/>
        <w:bottom w:val="none" w:sz="0" w:space="0" w:color="auto"/>
        <w:right w:val="none" w:sz="0" w:space="0" w:color="auto"/>
      </w:divBdr>
    </w:div>
    <w:div w:id="903683984">
      <w:bodyDiv w:val="1"/>
      <w:marLeft w:val="0"/>
      <w:marRight w:val="0"/>
      <w:marTop w:val="0"/>
      <w:marBottom w:val="0"/>
      <w:divBdr>
        <w:top w:val="none" w:sz="0" w:space="0" w:color="auto"/>
        <w:left w:val="none" w:sz="0" w:space="0" w:color="auto"/>
        <w:bottom w:val="none" w:sz="0" w:space="0" w:color="auto"/>
        <w:right w:val="none" w:sz="0" w:space="0" w:color="auto"/>
      </w:divBdr>
    </w:div>
    <w:div w:id="1099374189">
      <w:bodyDiv w:val="1"/>
      <w:marLeft w:val="0"/>
      <w:marRight w:val="0"/>
      <w:marTop w:val="0"/>
      <w:marBottom w:val="0"/>
      <w:divBdr>
        <w:top w:val="none" w:sz="0" w:space="0" w:color="auto"/>
        <w:left w:val="none" w:sz="0" w:space="0" w:color="auto"/>
        <w:bottom w:val="none" w:sz="0" w:space="0" w:color="auto"/>
        <w:right w:val="none" w:sz="0" w:space="0" w:color="auto"/>
      </w:divBdr>
    </w:div>
    <w:div w:id="1139764259">
      <w:bodyDiv w:val="1"/>
      <w:marLeft w:val="0"/>
      <w:marRight w:val="0"/>
      <w:marTop w:val="0"/>
      <w:marBottom w:val="0"/>
      <w:divBdr>
        <w:top w:val="none" w:sz="0" w:space="0" w:color="auto"/>
        <w:left w:val="none" w:sz="0" w:space="0" w:color="auto"/>
        <w:bottom w:val="none" w:sz="0" w:space="0" w:color="auto"/>
        <w:right w:val="none" w:sz="0" w:space="0" w:color="auto"/>
      </w:divBdr>
    </w:div>
    <w:div w:id="1271861688">
      <w:bodyDiv w:val="1"/>
      <w:marLeft w:val="0"/>
      <w:marRight w:val="0"/>
      <w:marTop w:val="0"/>
      <w:marBottom w:val="0"/>
      <w:divBdr>
        <w:top w:val="none" w:sz="0" w:space="0" w:color="auto"/>
        <w:left w:val="none" w:sz="0" w:space="0" w:color="auto"/>
        <w:bottom w:val="none" w:sz="0" w:space="0" w:color="auto"/>
        <w:right w:val="none" w:sz="0" w:space="0" w:color="auto"/>
      </w:divBdr>
    </w:div>
    <w:div w:id="1305700158">
      <w:bodyDiv w:val="1"/>
      <w:marLeft w:val="0"/>
      <w:marRight w:val="0"/>
      <w:marTop w:val="0"/>
      <w:marBottom w:val="0"/>
      <w:divBdr>
        <w:top w:val="none" w:sz="0" w:space="0" w:color="auto"/>
        <w:left w:val="none" w:sz="0" w:space="0" w:color="auto"/>
        <w:bottom w:val="none" w:sz="0" w:space="0" w:color="auto"/>
        <w:right w:val="none" w:sz="0" w:space="0" w:color="auto"/>
      </w:divBdr>
    </w:div>
    <w:div w:id="1805536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pi.ac.uk/publications/" TargetMode="External"/><Relationship Id="rId18" Type="http://schemas.openxmlformats.org/officeDocument/2006/relationships/hyperlink" Target="https://www.northumbria.ac.uk/" TargetMode="External"/><Relationship Id="rId26" Type="http://schemas.openxmlformats.org/officeDocument/2006/relationships/hyperlink" Target="https://warwick.ac.uk/" TargetMode="External"/><Relationship Id="rId3" Type="http://schemas.openxmlformats.org/officeDocument/2006/relationships/numbering" Target="numbering.xml"/><Relationship Id="rId21" Type="http://schemas.openxmlformats.org/officeDocument/2006/relationships/hyperlink" Target="https://www.legislation.gov.u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radcore.co.uk/" TargetMode="External"/><Relationship Id="rId17" Type="http://schemas.openxmlformats.org/officeDocument/2006/relationships/hyperlink" Target="https://doi.org/10.1080/0309877X.2015.1062853" TargetMode="External"/><Relationship Id="rId25" Type="http://schemas.openxmlformats.org/officeDocument/2006/relationships/hyperlink" Target="https://students.leeds.ac.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080/0309877X.2015.1062853" TargetMode="External"/><Relationship Id="rId20" Type="http://schemas.openxmlformats.org/officeDocument/2006/relationships/hyperlink" Target="https://www.shu.ac.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collections/longitudinal-education-outcomes-leo-data" TargetMode="External"/><Relationship Id="rId24" Type="http://schemas.openxmlformats.org/officeDocument/2006/relationships/hyperlink" Target="https://www.birmingham.ac.uk/" TargetMode="External"/><Relationship Id="rId32"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hyperlink" Target="https://doi.org/10.1080/0309877X.2015.1062853" TargetMode="External"/><Relationship Id="rId23" Type="http://schemas.openxmlformats.org/officeDocument/2006/relationships/hyperlink" Target="https://www.ucl.ac.uk/connected-curriculum/" TargetMode="External"/><Relationship Id="rId28" Type="http://schemas.openxmlformats.org/officeDocument/2006/relationships/header" Target="header2.xml"/><Relationship Id="rId10" Type="http://schemas.openxmlformats.org/officeDocument/2006/relationships/hyperlink" Target="https://aru.ac.uk/" TargetMode="External"/><Relationship Id="rId19" Type="http://schemas.openxmlformats.org/officeDocument/2006/relationships/hyperlink" Target="https://www.officeforstudents.org.uk/" TargetMode="External"/><Relationship Id="rId31"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raduateoutcomes.ac.uk" TargetMode="External"/><Relationship Id="rId22" Type="http://schemas.openxmlformats.org/officeDocument/2006/relationships/hyperlink" Target="https://www.graduateoutcomes.ac.uk" TargetMode="External"/><Relationship Id="rId27" Type="http://schemas.openxmlformats.org/officeDocument/2006/relationships/header" Target="header1.xm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Q9E5sSN3WTaklcp5pA8ohoggiQ==">CgMxLjAyCGguZ2pkZ3hzOAByITF6c0VWc3luY2tKTXd6MFg2TkFvZUlqLUN3TVA4N2FFdA==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7C2F10-1ADF-46C6-98B6-39ACC7FB0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3338</Words>
  <Characters>19028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dc:creator>
  <cp:lastModifiedBy>Kelebogile Makati</cp:lastModifiedBy>
  <cp:revision>2</cp:revision>
  <dcterms:created xsi:type="dcterms:W3CDTF">2025-07-17T10:29:00Z</dcterms:created>
  <dcterms:modified xsi:type="dcterms:W3CDTF">2025-07-17T10:29:00Z</dcterms:modified>
</cp:coreProperties>
</file>