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072"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35"/>
        <w:gridCol w:w="6237"/>
      </w:tblGrid>
      <w:tr w:rsidR="00907F75" w:rsidRPr="00422810" w14:paraId="1AD83A4E" w14:textId="77777777" w:rsidTr="00380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14:paraId="1FA085E8" w14:textId="77777777" w:rsidR="00907F75" w:rsidRPr="00422810" w:rsidRDefault="00E55C0C">
            <w:pPr>
              <w:spacing w:before="0" w:after="0"/>
              <w:rPr>
                <w:rFonts w:ascii="Californian FB" w:eastAsia="Lustria" w:hAnsi="Californian FB" w:cs="Lustria"/>
                <w:sz w:val="28"/>
                <w:szCs w:val="26"/>
              </w:rPr>
            </w:pPr>
            <w:r w:rsidRPr="00422810">
              <w:rPr>
                <w:rFonts w:ascii="Californian FB" w:eastAsia="Lustria" w:hAnsi="Californian FB" w:cs="Lustria"/>
                <w:i w:val="0"/>
                <w:sz w:val="28"/>
                <w:szCs w:val="26"/>
              </w:rPr>
              <w:t>Project Acronym:</w:t>
            </w:r>
          </w:p>
        </w:tc>
        <w:tc>
          <w:tcPr>
            <w:tcW w:w="6237" w:type="dxa"/>
          </w:tcPr>
          <w:p w14:paraId="6C3DD318" w14:textId="459527ED" w:rsidR="00907F75" w:rsidRPr="00422810" w:rsidRDefault="00E55C0C">
            <w:pPr>
              <w:spacing w:before="0" w:after="0"/>
              <w:cnfStyle w:val="100000000000" w:firstRow="1"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UP</w:t>
            </w:r>
            <w:r w:rsidR="00B62DAA" w:rsidRPr="00422810">
              <w:rPr>
                <w:rFonts w:ascii="Californian FB" w:eastAsia="Lustria" w:hAnsi="Californian FB" w:cs="Lustria"/>
                <w:sz w:val="28"/>
                <w:szCs w:val="26"/>
              </w:rPr>
              <w:t>SCALE</w:t>
            </w:r>
          </w:p>
        </w:tc>
      </w:tr>
      <w:tr w:rsidR="00907F75" w:rsidRPr="00422810" w14:paraId="167F5C28"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4417C1A"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Project No:</w:t>
            </w:r>
          </w:p>
        </w:tc>
        <w:tc>
          <w:tcPr>
            <w:tcW w:w="6237" w:type="dxa"/>
          </w:tcPr>
          <w:p w14:paraId="0F42F360" w14:textId="33C56777" w:rsidR="00907F75" w:rsidRPr="00422810" w:rsidRDefault="00B62DAA">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101178037</w:t>
            </w:r>
          </w:p>
        </w:tc>
      </w:tr>
      <w:tr w:rsidR="00907F75" w:rsidRPr="00422810" w14:paraId="3C015B1D" w14:textId="77777777" w:rsidTr="00380D5F">
        <w:tc>
          <w:tcPr>
            <w:cnfStyle w:val="001000000000" w:firstRow="0" w:lastRow="0" w:firstColumn="1" w:lastColumn="0" w:oddVBand="0" w:evenVBand="0" w:oddHBand="0" w:evenHBand="0" w:firstRowFirstColumn="0" w:firstRowLastColumn="0" w:lastRowFirstColumn="0" w:lastRowLastColumn="0"/>
            <w:tcW w:w="2835" w:type="dxa"/>
          </w:tcPr>
          <w:p w14:paraId="2EFF1970"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WP / Task:</w:t>
            </w:r>
          </w:p>
        </w:tc>
        <w:tc>
          <w:tcPr>
            <w:tcW w:w="6237" w:type="dxa"/>
          </w:tcPr>
          <w:p w14:paraId="0B7FAC4A" w14:textId="66115DE0" w:rsidR="00907F75" w:rsidRPr="00422810" w:rsidRDefault="00E55C0C">
            <w:pPr>
              <w:spacing w:before="0" w:after="0"/>
              <w:cnfStyle w:val="000000000000" w:firstRow="0"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WP</w:t>
            </w:r>
            <w:r w:rsidR="00F61DED" w:rsidRPr="00422810">
              <w:rPr>
                <w:rFonts w:ascii="Californian FB" w:eastAsia="Lustria" w:hAnsi="Californian FB" w:cs="Lustria"/>
                <w:sz w:val="28"/>
                <w:szCs w:val="26"/>
              </w:rPr>
              <w:t>2</w:t>
            </w:r>
            <w:r w:rsidRPr="00422810">
              <w:rPr>
                <w:rFonts w:ascii="Californian FB" w:eastAsia="Lustria" w:hAnsi="Californian FB" w:cs="Lustria"/>
                <w:sz w:val="28"/>
                <w:szCs w:val="26"/>
              </w:rPr>
              <w:t xml:space="preserve">/ </w:t>
            </w:r>
            <w:r w:rsidR="00F61DED" w:rsidRPr="00422810">
              <w:rPr>
                <w:rFonts w:ascii="Californian FB" w:eastAsia="Lustria" w:hAnsi="Californian FB" w:cs="Lustria"/>
                <w:sz w:val="28"/>
                <w:szCs w:val="26"/>
              </w:rPr>
              <w:t>MS5</w:t>
            </w:r>
            <w:r w:rsidRPr="00422810">
              <w:rPr>
                <w:rFonts w:ascii="Californian FB" w:eastAsia="Lustria" w:hAnsi="Californian FB" w:cs="Lustria"/>
                <w:sz w:val="28"/>
                <w:szCs w:val="26"/>
              </w:rPr>
              <w:t xml:space="preserve">- </w:t>
            </w:r>
            <w:r w:rsidR="00F61DED" w:rsidRPr="00422810">
              <w:rPr>
                <w:rFonts w:ascii="Californian FB" w:eastAsia="Lustria" w:hAnsi="Californian FB" w:cs="Lustria"/>
                <w:sz w:val="28"/>
                <w:szCs w:val="26"/>
              </w:rPr>
              <w:t xml:space="preserve">Benchmark report on best practices in monitoring HE graduates’ employability in </w:t>
            </w:r>
            <w:r w:rsidR="00F711E0">
              <w:rPr>
                <w:rFonts w:ascii="Californian FB" w:eastAsia="Lustria" w:hAnsi="Californian FB" w:cs="Lustria"/>
                <w:sz w:val="28"/>
                <w:szCs w:val="26"/>
              </w:rPr>
              <w:t xml:space="preserve">the </w:t>
            </w:r>
            <w:r w:rsidR="00F61DED" w:rsidRPr="00422810">
              <w:rPr>
                <w:rFonts w:ascii="Californian FB" w:eastAsia="Lustria" w:hAnsi="Californian FB" w:cs="Lustria"/>
                <w:sz w:val="28"/>
                <w:szCs w:val="26"/>
              </w:rPr>
              <w:t>EU</w:t>
            </w:r>
          </w:p>
        </w:tc>
      </w:tr>
      <w:tr w:rsidR="00907F75" w:rsidRPr="00422810" w14:paraId="60924390"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B114546"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Project partner (s)</w:t>
            </w:r>
          </w:p>
        </w:tc>
        <w:tc>
          <w:tcPr>
            <w:tcW w:w="6237" w:type="dxa"/>
          </w:tcPr>
          <w:p w14:paraId="009B4AD3" w14:textId="4BAD5A75" w:rsidR="00907F75" w:rsidRPr="00422810" w:rsidRDefault="00E55C0C">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P1-P</w:t>
            </w:r>
            <w:r w:rsidR="00B62DAA" w:rsidRPr="00422810">
              <w:rPr>
                <w:rFonts w:ascii="Californian FB" w:eastAsia="Lustria" w:hAnsi="Californian FB" w:cs="Lustria"/>
                <w:sz w:val="28"/>
                <w:szCs w:val="26"/>
              </w:rPr>
              <w:t>9</w:t>
            </w:r>
          </w:p>
        </w:tc>
      </w:tr>
    </w:tbl>
    <w:p w14:paraId="34CCBBED" w14:textId="77777777" w:rsidR="00907F75" w:rsidRPr="00422810" w:rsidRDefault="00907F75">
      <w:pPr>
        <w:spacing w:before="0" w:after="0"/>
        <w:rPr>
          <w:rFonts w:ascii="Californian FB" w:hAnsi="Californian FB"/>
        </w:rPr>
      </w:pPr>
    </w:p>
    <w:p w14:paraId="693FC5F5" w14:textId="77777777" w:rsidR="00907F75" w:rsidRPr="00422810" w:rsidRDefault="00907F75">
      <w:pPr>
        <w:spacing w:before="0" w:after="0"/>
        <w:rPr>
          <w:rFonts w:ascii="Californian FB" w:eastAsia="Lustria" w:hAnsi="Californian FB" w:cs="Lustria"/>
          <w:sz w:val="28"/>
          <w:szCs w:val="26"/>
        </w:rPr>
      </w:pPr>
    </w:p>
    <w:p w14:paraId="34CB2BF1" w14:textId="6DBA8EBE" w:rsidR="00422810" w:rsidRPr="00422810" w:rsidRDefault="00422810" w:rsidP="00422810">
      <w:pPr>
        <w:spacing w:before="0" w:after="0"/>
        <w:jc w:val="center"/>
        <w:rPr>
          <w:rFonts w:ascii="Californian FB" w:eastAsia="Lustria" w:hAnsi="Californian FB" w:cs="Lustria"/>
          <w:color w:val="C00000"/>
          <w:sz w:val="72"/>
          <w:szCs w:val="60"/>
        </w:rPr>
      </w:pPr>
      <w:r w:rsidRPr="00422810">
        <w:rPr>
          <w:rFonts w:ascii="Californian FB" w:eastAsia="Lustria" w:hAnsi="Californian FB" w:cs="Lustria"/>
          <w:b/>
          <w:color w:val="C00000"/>
          <w:sz w:val="52"/>
          <w:szCs w:val="50"/>
        </w:rPr>
        <w:t>BENCHMARK REPORT</w:t>
      </w:r>
    </w:p>
    <w:p w14:paraId="4E9A272A" w14:textId="0242D0F4" w:rsidR="00907F75" w:rsidRPr="00422810" w:rsidRDefault="00422810" w:rsidP="00422810">
      <w:pPr>
        <w:spacing w:before="0"/>
        <w:jc w:val="center"/>
        <w:rPr>
          <w:rFonts w:ascii="Californian FB" w:eastAsia="Lustria" w:hAnsi="Californian FB" w:cs="Lustria"/>
          <w:b/>
          <w:color w:val="002060"/>
          <w:sz w:val="28"/>
          <w:szCs w:val="26"/>
        </w:rPr>
      </w:pPr>
      <w:r w:rsidRPr="00422810">
        <w:rPr>
          <w:rFonts w:ascii="Californian FB" w:eastAsia="Lustria" w:hAnsi="Californian FB" w:cs="Lustria"/>
          <w:b/>
          <w:color w:val="002060"/>
          <w:sz w:val="28"/>
          <w:szCs w:val="26"/>
        </w:rPr>
        <w:t xml:space="preserve">on best practices in </w:t>
      </w:r>
      <w:proofErr w:type="gramStart"/>
      <w:r w:rsidRPr="00422810">
        <w:rPr>
          <w:rFonts w:ascii="Californian FB" w:eastAsia="Lustria" w:hAnsi="Californian FB" w:cs="Lustria"/>
          <w:b/>
          <w:color w:val="002060"/>
          <w:sz w:val="28"/>
          <w:szCs w:val="26"/>
        </w:rPr>
        <w:t>monitoring</w:t>
      </w:r>
      <w:proofErr w:type="gramEnd"/>
      <w:r w:rsidRPr="00422810">
        <w:rPr>
          <w:rFonts w:ascii="Californian FB" w:eastAsia="Lustria" w:hAnsi="Californian FB" w:cs="Lustria"/>
          <w:b/>
          <w:color w:val="002060"/>
          <w:sz w:val="28"/>
          <w:szCs w:val="26"/>
        </w:rPr>
        <w:t xml:space="preserve"> HE graduates' employability in </w:t>
      </w:r>
      <w:r w:rsidR="00F711E0">
        <w:rPr>
          <w:rFonts w:ascii="Californian FB" w:eastAsia="Lustria" w:hAnsi="Californian FB" w:cs="Lustria"/>
          <w:b/>
          <w:color w:val="002060"/>
          <w:sz w:val="28"/>
          <w:szCs w:val="26"/>
        </w:rPr>
        <w:t xml:space="preserve">the </w:t>
      </w:r>
      <w:r w:rsidRPr="00422810">
        <w:rPr>
          <w:rFonts w:ascii="Californian FB" w:eastAsia="Lustria" w:hAnsi="Californian FB" w:cs="Lustria"/>
          <w:b/>
          <w:color w:val="002060"/>
          <w:sz w:val="28"/>
          <w:szCs w:val="26"/>
        </w:rPr>
        <w:t>EU</w:t>
      </w:r>
    </w:p>
    <w:p w14:paraId="0ADD43F6" w14:textId="77777777" w:rsidR="00907F75" w:rsidRPr="00422810" w:rsidRDefault="00907F75">
      <w:pPr>
        <w:spacing w:before="0" w:after="0"/>
        <w:jc w:val="center"/>
        <w:rPr>
          <w:rFonts w:ascii="Californian FB" w:eastAsia="Lustria" w:hAnsi="Californian FB" w:cs="Lustria"/>
          <w:b/>
        </w:rPr>
      </w:pPr>
    </w:p>
    <w:p w14:paraId="283BD361" w14:textId="77777777" w:rsidR="00422810" w:rsidRPr="00422810" w:rsidRDefault="00422810" w:rsidP="00422810">
      <w:pPr>
        <w:rPr>
          <w:rFonts w:ascii="Californian FB" w:eastAsia="Lustria" w:hAnsi="Californian FB" w:cs="Lustria"/>
          <w:b/>
          <w:color w:val="1F3864"/>
          <w:sz w:val="28"/>
          <w:szCs w:val="28"/>
        </w:rPr>
      </w:pPr>
      <w:r w:rsidRPr="00422810">
        <w:rPr>
          <w:rFonts w:ascii="Californian FB" w:eastAsia="Lustria" w:hAnsi="Californian FB" w:cs="Lustria"/>
          <w:b/>
          <w:color w:val="1F3864"/>
          <w:sz w:val="28"/>
          <w:szCs w:val="28"/>
        </w:rPr>
        <w:t>CONTENT:</w:t>
      </w:r>
    </w:p>
    <w:p w14:paraId="1A2907FB" w14:textId="77777777" w:rsidR="00422810" w:rsidRPr="00422810" w:rsidRDefault="00422810" w:rsidP="00422810">
      <w:pPr>
        <w:pStyle w:val="ListParagraph"/>
        <w:numPr>
          <w:ilvl w:val="0"/>
          <w:numId w:val="13"/>
        </w:numPr>
        <w:spacing w:before="0" w:after="160" w:line="259" w:lineRule="auto"/>
        <w:rPr>
          <w:rFonts w:ascii="Californian FB" w:eastAsia="Lustria" w:hAnsi="Californian FB" w:cs="Lustria"/>
          <w:color w:val="000000"/>
          <w:sz w:val="28"/>
          <w:szCs w:val="28"/>
        </w:rPr>
      </w:pPr>
      <w:bookmarkStart w:id="0" w:name="_heading=h.rduz6b2mdmsq" w:colFirst="0" w:colLast="0"/>
      <w:bookmarkEnd w:id="0"/>
      <w:r w:rsidRPr="00422810">
        <w:rPr>
          <w:rFonts w:ascii="Californian FB" w:eastAsia="Lustria" w:hAnsi="Californian FB" w:cs="Lustria"/>
          <w:color w:val="000000"/>
          <w:sz w:val="28"/>
          <w:szCs w:val="28"/>
        </w:rPr>
        <w:t>Introduction: key initiatives, policy documents, and non-policy documents;</w:t>
      </w:r>
    </w:p>
    <w:p w14:paraId="3323F68F" w14:textId="77777777" w:rsidR="00422810" w:rsidRPr="00422810" w:rsidRDefault="00422810" w:rsidP="00422810">
      <w:pPr>
        <w:pStyle w:val="ListParagraph"/>
        <w:numPr>
          <w:ilvl w:val="0"/>
          <w:numId w:val="13"/>
        </w:numPr>
        <w:spacing w:before="0" w:after="160" w:line="259" w:lineRule="auto"/>
        <w:rPr>
          <w:rFonts w:ascii="Californian FB" w:eastAsia="Lustria" w:hAnsi="Californian FB" w:cs="Lustria"/>
          <w:color w:val="000000"/>
          <w:sz w:val="28"/>
          <w:szCs w:val="28"/>
        </w:rPr>
      </w:pPr>
      <w:r w:rsidRPr="00422810">
        <w:rPr>
          <w:rFonts w:ascii="Californian FB" w:eastAsia="Lustria" w:hAnsi="Californian FB" w:cs="Lustria"/>
          <w:color w:val="000000"/>
          <w:sz w:val="28"/>
          <w:szCs w:val="28"/>
        </w:rPr>
        <w:t>Tools and mechanisms for Monitoring HE graduates’ employability; implementation approach for students and academic staff.</w:t>
      </w:r>
    </w:p>
    <w:p w14:paraId="05B6A5A4" w14:textId="77777777" w:rsidR="00422810" w:rsidRPr="00422810" w:rsidRDefault="00422810" w:rsidP="00422810">
      <w:pPr>
        <w:pStyle w:val="ListParagraph"/>
        <w:numPr>
          <w:ilvl w:val="0"/>
          <w:numId w:val="13"/>
        </w:numPr>
        <w:spacing w:before="0" w:after="160" w:line="259" w:lineRule="auto"/>
        <w:rPr>
          <w:rFonts w:ascii="Californian FB" w:eastAsia="Lustria" w:hAnsi="Californian FB" w:cs="Lustria"/>
          <w:color w:val="000000"/>
          <w:sz w:val="28"/>
          <w:szCs w:val="28"/>
        </w:rPr>
      </w:pPr>
      <w:r w:rsidRPr="00422810">
        <w:rPr>
          <w:rFonts w:ascii="Californian FB" w:eastAsia="Lustria" w:hAnsi="Californian FB" w:cs="Lustria"/>
          <w:color w:val="000000"/>
          <w:sz w:val="28"/>
          <w:szCs w:val="28"/>
        </w:rPr>
        <w:t>Topical initiatives and portals; learning outcomes.</w:t>
      </w:r>
    </w:p>
    <w:p w14:paraId="4AFD4850" w14:textId="77777777" w:rsidR="00422810" w:rsidRPr="00422810" w:rsidRDefault="00422810" w:rsidP="00422810">
      <w:pPr>
        <w:pStyle w:val="ListParagraph"/>
        <w:numPr>
          <w:ilvl w:val="0"/>
          <w:numId w:val="13"/>
        </w:numPr>
        <w:spacing w:before="0" w:after="160" w:line="259" w:lineRule="auto"/>
        <w:rPr>
          <w:rFonts w:ascii="Californian FB" w:eastAsia="Lustria" w:hAnsi="Californian FB" w:cs="Lustria"/>
          <w:color w:val="000000"/>
          <w:sz w:val="28"/>
          <w:szCs w:val="28"/>
        </w:rPr>
      </w:pPr>
      <w:r w:rsidRPr="00422810">
        <w:rPr>
          <w:rFonts w:ascii="Californian FB" w:eastAsia="Lustria" w:hAnsi="Californian FB" w:cs="Lustria"/>
          <w:color w:val="000000"/>
          <w:sz w:val="28"/>
          <w:szCs w:val="28"/>
        </w:rPr>
        <w:t>Conclusions and recommendations;</w:t>
      </w:r>
    </w:p>
    <w:p w14:paraId="71CC06B1" w14:textId="77777777" w:rsidR="00422810" w:rsidRPr="00422810" w:rsidRDefault="00422810" w:rsidP="00422810">
      <w:pPr>
        <w:pStyle w:val="ListParagraph"/>
        <w:numPr>
          <w:ilvl w:val="0"/>
          <w:numId w:val="13"/>
        </w:numPr>
        <w:spacing w:before="0" w:after="160" w:line="259" w:lineRule="auto"/>
        <w:rPr>
          <w:rFonts w:ascii="Californian FB" w:eastAsia="Lustria" w:hAnsi="Californian FB" w:cs="Lustria"/>
          <w:color w:val="000000"/>
          <w:sz w:val="28"/>
          <w:szCs w:val="28"/>
        </w:rPr>
      </w:pPr>
      <w:r w:rsidRPr="00422810">
        <w:rPr>
          <w:rFonts w:ascii="Californian FB" w:eastAsia="Lustria" w:hAnsi="Californian FB" w:cs="Lustria"/>
          <w:color w:val="000000"/>
          <w:sz w:val="28"/>
          <w:szCs w:val="28"/>
        </w:rPr>
        <w:t>References and annexes (if any).</w:t>
      </w:r>
    </w:p>
    <w:p w14:paraId="3B29A824" w14:textId="78A43346" w:rsidR="00422810" w:rsidRPr="00422810" w:rsidRDefault="00422810" w:rsidP="00422810">
      <w:pPr>
        <w:rPr>
          <w:rFonts w:ascii="Californian FB" w:eastAsia="Lustria" w:hAnsi="Californian FB" w:cs="Lustria"/>
          <w:b/>
          <w:color w:val="1F3864"/>
          <w:sz w:val="28"/>
          <w:szCs w:val="28"/>
        </w:rPr>
      </w:pPr>
      <w:r w:rsidRPr="00422810">
        <w:rPr>
          <w:rFonts w:ascii="Californian FB" w:eastAsia="Lustria" w:hAnsi="Californian FB" w:cs="Lustria"/>
          <w:b/>
          <w:color w:val="1F3864"/>
          <w:sz w:val="28"/>
          <w:szCs w:val="28"/>
        </w:rPr>
        <w:t xml:space="preserve">Country 2: </w:t>
      </w:r>
      <w:r w:rsidR="002157F5">
        <w:rPr>
          <w:rFonts w:ascii="Californian FB" w:eastAsia="Lustria" w:hAnsi="Californian FB" w:cs="Lustria"/>
          <w:b/>
          <w:color w:val="1F3864"/>
          <w:sz w:val="28"/>
          <w:szCs w:val="28"/>
        </w:rPr>
        <w:t>Ireland</w:t>
      </w:r>
    </w:p>
    <w:p w14:paraId="48244006" w14:textId="77777777" w:rsidR="00422810" w:rsidRPr="00422810" w:rsidRDefault="00422810" w:rsidP="00422810">
      <w:pPr>
        <w:rPr>
          <w:rFonts w:ascii="Californian FB" w:eastAsia="Lustria" w:hAnsi="Californian FB" w:cs="Lustria"/>
          <w:b/>
          <w:color w:val="1F3864"/>
          <w:sz w:val="28"/>
          <w:szCs w:val="28"/>
        </w:rPr>
      </w:pPr>
      <w:r w:rsidRPr="00422810">
        <w:rPr>
          <w:rFonts w:ascii="Californian FB" w:eastAsia="Lustria" w:hAnsi="Californian FB" w:cs="Lustria"/>
          <w:b/>
          <w:color w:val="1F3864"/>
          <w:sz w:val="28"/>
          <w:szCs w:val="28"/>
        </w:rPr>
        <w:t>CONTENT:</w:t>
      </w:r>
    </w:p>
    <w:p w14:paraId="5919C3E0" w14:textId="77777777" w:rsidR="002157F5" w:rsidRDefault="00422810" w:rsidP="00422810">
      <w:pPr>
        <w:pStyle w:val="ListParagraph"/>
        <w:numPr>
          <w:ilvl w:val="0"/>
          <w:numId w:val="14"/>
        </w:numPr>
        <w:spacing w:before="0" w:after="160" w:line="259" w:lineRule="auto"/>
        <w:rPr>
          <w:rFonts w:ascii="Californian FB" w:eastAsia="Lustria" w:hAnsi="Californian FB" w:cs="Lustria"/>
          <w:b/>
          <w:bCs/>
          <w:color w:val="000000"/>
          <w:sz w:val="28"/>
          <w:szCs w:val="28"/>
        </w:rPr>
      </w:pPr>
      <w:r w:rsidRPr="00DB5C0D">
        <w:rPr>
          <w:rFonts w:ascii="Californian FB" w:eastAsia="Lustria" w:hAnsi="Californian FB" w:cs="Lustria"/>
          <w:b/>
          <w:bCs/>
          <w:color w:val="000000"/>
          <w:sz w:val="28"/>
          <w:szCs w:val="28"/>
        </w:rPr>
        <w:t xml:space="preserve">Introduction: </w:t>
      </w:r>
    </w:p>
    <w:p w14:paraId="26349284" w14:textId="77777777" w:rsidR="007E587B" w:rsidRPr="00F711E0" w:rsidRDefault="007E587B" w:rsidP="007E587B">
      <w:p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This report provides a comprehensive analysis of Ireland’s best practices in monitoring graduate employability within higher education. Ireland’s system is recognised for its robust approach, combining quantitative tracking and qualitative data collection methods that assess both graduate outcomes and the quality of the learning experience. The monitoring framework typically includes the systematic tracking of employment rates, salary levels, career progression, and the relevance of graduates’ qualifications to labour market demands.</w:t>
      </w:r>
    </w:p>
    <w:p w14:paraId="0630F3A5" w14:textId="4F7232D7" w:rsidR="007E587B" w:rsidRPr="00F711E0" w:rsidRDefault="007E587B" w:rsidP="007E587B">
      <w:p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 xml:space="preserve">By implementing these best practices, Irish higher education institutions </w:t>
      </w:r>
      <w:r w:rsidR="00EE56CA" w:rsidRPr="00F711E0">
        <w:rPr>
          <w:rFonts w:ascii="Californian FB" w:eastAsia="Lustria" w:hAnsi="Californian FB" w:cs="Lustria"/>
          <w:color w:val="000000"/>
          <w:sz w:val="28"/>
          <w:szCs w:val="28"/>
        </w:rPr>
        <w:t>can effectively monitor graduates, ensure that academic programs</w:t>
      </w:r>
      <w:r w:rsidRPr="00F711E0">
        <w:rPr>
          <w:rFonts w:ascii="Californian FB" w:eastAsia="Lustria" w:hAnsi="Californian FB" w:cs="Lustria"/>
          <w:color w:val="000000"/>
          <w:sz w:val="28"/>
          <w:szCs w:val="28"/>
        </w:rPr>
        <w:t xml:space="preserve"> remain responsive to evolving industry needs, and contribute to the development of a highly skilled and adaptable workforce.</w:t>
      </w:r>
    </w:p>
    <w:p w14:paraId="1EFFAEF3" w14:textId="77777777" w:rsidR="007E587B" w:rsidRPr="007E587B" w:rsidRDefault="007E587B" w:rsidP="007E587B">
      <w:pPr>
        <w:spacing w:before="0" w:after="160" w:line="259" w:lineRule="auto"/>
        <w:rPr>
          <w:rFonts w:ascii="Californian FB" w:eastAsia="Lustria" w:hAnsi="Californian FB" w:cs="Lustria"/>
          <w:b/>
          <w:bCs/>
          <w:color w:val="000000"/>
          <w:sz w:val="28"/>
          <w:szCs w:val="28"/>
        </w:rPr>
      </w:pPr>
    </w:p>
    <w:p w14:paraId="51E767FC" w14:textId="77777777" w:rsidR="007E587B" w:rsidRPr="00F711E0" w:rsidRDefault="007E587B" w:rsidP="007E587B">
      <w:p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The report examines best practices across Ireland’s leading universities, with a focus on five key areas:</w:t>
      </w:r>
    </w:p>
    <w:p w14:paraId="7D8D7AE2" w14:textId="77777777" w:rsidR="007E587B" w:rsidRPr="00F711E0" w:rsidRDefault="007E587B" w:rsidP="007E587B">
      <w:pPr>
        <w:pStyle w:val="ListParagraph"/>
        <w:numPr>
          <w:ilvl w:val="0"/>
          <w:numId w:val="24"/>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lastRenderedPageBreak/>
        <w:t>Policies supporting employability monitoring</w:t>
      </w:r>
    </w:p>
    <w:p w14:paraId="7F257C0A" w14:textId="77777777" w:rsidR="007E587B" w:rsidRPr="00F711E0" w:rsidRDefault="007E587B" w:rsidP="007E587B">
      <w:pPr>
        <w:pStyle w:val="ListParagraph"/>
        <w:numPr>
          <w:ilvl w:val="0"/>
          <w:numId w:val="24"/>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Monitoring tools and data systems</w:t>
      </w:r>
    </w:p>
    <w:p w14:paraId="1B2B83BB" w14:textId="77777777" w:rsidR="007E587B" w:rsidRPr="00F711E0" w:rsidRDefault="007E587B" w:rsidP="007E587B">
      <w:pPr>
        <w:pStyle w:val="ListParagraph"/>
        <w:numPr>
          <w:ilvl w:val="0"/>
          <w:numId w:val="24"/>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Implementation strategies that ensure effective tracking and reporting</w:t>
      </w:r>
    </w:p>
    <w:p w14:paraId="381328BD" w14:textId="77777777" w:rsidR="007E587B" w:rsidRPr="00F711E0" w:rsidRDefault="007E587B" w:rsidP="007E587B">
      <w:pPr>
        <w:pStyle w:val="ListParagraph"/>
        <w:numPr>
          <w:ilvl w:val="0"/>
          <w:numId w:val="24"/>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Learning initiatives that strengthen graduate outcomes and employability skills</w:t>
      </w:r>
    </w:p>
    <w:p w14:paraId="34F8BE75" w14:textId="16458A65" w:rsidR="007E587B" w:rsidRPr="00F711E0" w:rsidRDefault="007E587B" w:rsidP="007E587B">
      <w:pPr>
        <w:pStyle w:val="ListParagraph"/>
        <w:numPr>
          <w:ilvl w:val="0"/>
          <w:numId w:val="24"/>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Conclusions and actionable recommendations that can inform institutional improvements elsewhere</w:t>
      </w:r>
      <w:r w:rsidRPr="00F711E0">
        <w:rPr>
          <w:rFonts w:ascii="Californian FB" w:eastAsia="Lustria" w:hAnsi="Californian FB" w:cs="Lustria"/>
          <w:color w:val="000000"/>
          <w:sz w:val="28"/>
          <w:szCs w:val="28"/>
        </w:rPr>
        <w:t>.</w:t>
      </w:r>
    </w:p>
    <w:p w14:paraId="45AF6C2A" w14:textId="19C59C29" w:rsidR="007E587B" w:rsidRPr="00F711E0" w:rsidRDefault="007E587B" w:rsidP="007E587B">
      <w:p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 xml:space="preserve">Taken together, these elements demonstrate how Ireland’s approach offers valuable insights for institutions </w:t>
      </w:r>
      <w:r w:rsidR="00EE56CA" w:rsidRPr="00F711E0">
        <w:rPr>
          <w:rFonts w:ascii="Californian FB" w:eastAsia="Lustria" w:hAnsi="Californian FB" w:cs="Lustria"/>
          <w:color w:val="000000"/>
          <w:sz w:val="28"/>
          <w:szCs w:val="28"/>
        </w:rPr>
        <w:t>seeking to enhance their graduate employability frameworks and align their offerings with national and global workforce needs</w:t>
      </w:r>
      <w:r w:rsidRPr="00F711E0">
        <w:rPr>
          <w:rFonts w:ascii="Californian FB" w:eastAsia="Lustria" w:hAnsi="Californian FB" w:cs="Lustria"/>
          <w:color w:val="000000"/>
          <w:sz w:val="28"/>
          <w:szCs w:val="28"/>
        </w:rPr>
        <w:t>.</w:t>
      </w:r>
    </w:p>
    <w:p w14:paraId="6B15FE4D" w14:textId="77777777" w:rsidR="007E587B" w:rsidRPr="007E587B" w:rsidRDefault="007E587B" w:rsidP="007E587B">
      <w:pPr>
        <w:spacing w:before="0" w:after="160" w:line="259" w:lineRule="auto"/>
        <w:rPr>
          <w:rFonts w:ascii="Californian FB" w:eastAsia="Lustria" w:hAnsi="Californian FB" w:cs="Lustria"/>
          <w:b/>
          <w:bCs/>
          <w:color w:val="000000"/>
          <w:sz w:val="28"/>
          <w:szCs w:val="28"/>
        </w:rPr>
      </w:pPr>
    </w:p>
    <w:p w14:paraId="31B902F1" w14:textId="2BDE34F0" w:rsidR="00422810" w:rsidRPr="004E1E17" w:rsidRDefault="00DB5C0D" w:rsidP="00422810">
      <w:pPr>
        <w:pStyle w:val="ListParagraph"/>
        <w:numPr>
          <w:ilvl w:val="0"/>
          <w:numId w:val="14"/>
        </w:numPr>
        <w:spacing w:before="0" w:after="160" w:line="259" w:lineRule="auto"/>
        <w:rPr>
          <w:rFonts w:ascii="Californian FB" w:eastAsia="Lustria" w:hAnsi="Californian FB" w:cs="Lustria"/>
          <w:b/>
          <w:bCs/>
          <w:color w:val="000000"/>
          <w:sz w:val="28"/>
          <w:szCs w:val="28"/>
        </w:rPr>
      </w:pPr>
      <w:r w:rsidRPr="004E1E17">
        <w:rPr>
          <w:rFonts w:ascii="Californian FB" w:eastAsia="Lustria" w:hAnsi="Californian FB" w:cs="Lustria"/>
          <w:b/>
          <w:bCs/>
          <w:color w:val="000000"/>
          <w:sz w:val="28"/>
          <w:szCs w:val="28"/>
        </w:rPr>
        <w:t>P</w:t>
      </w:r>
      <w:r w:rsidR="00422810" w:rsidRPr="004E1E17">
        <w:rPr>
          <w:rFonts w:ascii="Californian FB" w:eastAsia="Lustria" w:hAnsi="Californian FB" w:cs="Lustria"/>
          <w:b/>
          <w:bCs/>
          <w:color w:val="000000"/>
          <w:sz w:val="28"/>
          <w:szCs w:val="28"/>
        </w:rPr>
        <w:t>olicy documents, and non-policy documents</w:t>
      </w:r>
    </w:p>
    <w:p w14:paraId="2CE77E54" w14:textId="77777777" w:rsidR="0068591D" w:rsidRPr="0068591D" w:rsidRDefault="0068591D" w:rsidP="0068591D">
      <w:p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Ireland has developed a robust policy environment that underpins its success in monitoring graduate employability and aligning higher education outcomes with labour market needs. The Higher Education Authority (HEA) and individual universities regularly produce policy documents and supporting materials to guide institutions in designing programmes and services that enhance graduates’ career readiness.</w:t>
      </w:r>
    </w:p>
    <w:p w14:paraId="612B477E" w14:textId="3DB98BC1" w:rsidR="0068591D" w:rsidRPr="0068591D" w:rsidRDefault="0068591D" w:rsidP="0068591D">
      <w:p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One of the flagship national frameworks is the System Performance Framework 2023–2028, which sets out national benchmarks and clear employability targets for higher education institutions. Another key instrument is the Graduate Outcomes Survey (HEA, 2023), which provides comprehensive data on institutional comparisons and national trends. For example, the Technological University of the Shannon (TUS) recorded the highest graduate employment rate in Ireland at 81%. According to Professor Vincent Cunnane (2025), President of TUS, this outcome demonstrates the university’s strong commitment to delivering program</w:t>
      </w:r>
      <w:r w:rsidR="00F711E0">
        <w:rPr>
          <w:rFonts w:ascii="Californian FB" w:eastAsia="Lustria" w:hAnsi="Californian FB" w:cs="Lustria"/>
          <w:color w:val="000000"/>
          <w:sz w:val="28"/>
          <w:szCs w:val="28"/>
        </w:rPr>
        <w:t>s co-designed with employers to ensure graduates are well-</w:t>
      </w:r>
      <w:r w:rsidRPr="0068591D">
        <w:rPr>
          <w:rFonts w:ascii="Californian FB" w:eastAsia="Lustria" w:hAnsi="Californian FB" w:cs="Lustria"/>
          <w:color w:val="000000"/>
          <w:sz w:val="28"/>
          <w:szCs w:val="28"/>
        </w:rPr>
        <w:t>prepared to meet evolving workforce demands.</w:t>
      </w:r>
    </w:p>
    <w:p w14:paraId="5462A5EE"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p>
    <w:p w14:paraId="678490A6" w14:textId="553F26EC" w:rsidR="0068591D" w:rsidRPr="0068591D" w:rsidRDefault="0068591D" w:rsidP="0068591D">
      <w:p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 xml:space="preserve">Similarly, </w:t>
      </w:r>
      <w:r w:rsidR="00F711E0">
        <w:rPr>
          <w:rFonts w:ascii="Californian FB" w:eastAsia="Lustria" w:hAnsi="Californian FB" w:cs="Lustria"/>
          <w:color w:val="000000"/>
          <w:sz w:val="28"/>
          <w:szCs w:val="28"/>
        </w:rPr>
        <w:t>University College Cork (UCC) has developed its Employability Framework 2025–2028, which guides the integration of employability into curricula across all programmes, ensuring that students acquire the practical and transferable skills necessary</w:t>
      </w:r>
      <w:r w:rsidRPr="0068591D">
        <w:rPr>
          <w:rFonts w:ascii="Californian FB" w:eastAsia="Lustria" w:hAnsi="Californian FB" w:cs="Lustria"/>
          <w:color w:val="000000"/>
          <w:sz w:val="28"/>
          <w:szCs w:val="28"/>
        </w:rPr>
        <w:t xml:space="preserve"> for success after graduation.</w:t>
      </w:r>
    </w:p>
    <w:p w14:paraId="2746796D" w14:textId="77777777" w:rsidR="0068591D" w:rsidRDefault="0068591D" w:rsidP="0068591D">
      <w:p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Ireland’s approach combines overarching national policies with institution-specific strategies and practical initiatives. These fall into two main categories:</w:t>
      </w:r>
    </w:p>
    <w:p w14:paraId="0CA17C80" w14:textId="77777777" w:rsidR="00F711E0" w:rsidRPr="0068591D" w:rsidRDefault="00F711E0" w:rsidP="0068591D">
      <w:pPr>
        <w:spacing w:before="0" w:after="160" w:line="259" w:lineRule="auto"/>
        <w:rPr>
          <w:rFonts w:ascii="Californian FB" w:eastAsia="Lustria" w:hAnsi="Californian FB" w:cs="Lustria"/>
          <w:color w:val="000000"/>
          <w:sz w:val="28"/>
          <w:szCs w:val="28"/>
        </w:rPr>
      </w:pPr>
    </w:p>
    <w:p w14:paraId="6A1D1F3E"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proofErr w:type="spellStart"/>
      <w:r w:rsidRPr="0068591D">
        <w:rPr>
          <w:rFonts w:ascii="Californian FB" w:eastAsia="Lustria" w:hAnsi="Californian FB" w:cs="Lustria"/>
          <w:color w:val="000000"/>
          <w:sz w:val="28"/>
          <w:szCs w:val="28"/>
        </w:rPr>
        <w:lastRenderedPageBreak/>
        <w:t>i</w:t>
      </w:r>
      <w:proofErr w:type="spellEnd"/>
      <w:r w:rsidRPr="0068591D">
        <w:rPr>
          <w:rFonts w:ascii="Californian FB" w:eastAsia="Lustria" w:hAnsi="Californian FB" w:cs="Lustria"/>
          <w:color w:val="000000"/>
          <w:sz w:val="28"/>
          <w:szCs w:val="28"/>
        </w:rPr>
        <w:t xml:space="preserve">) </w:t>
      </w:r>
      <w:r w:rsidRPr="0068591D">
        <w:rPr>
          <w:rFonts w:ascii="Californian FB" w:eastAsia="Lustria" w:hAnsi="Californian FB" w:cs="Lustria"/>
          <w:b/>
          <w:bCs/>
          <w:color w:val="000000"/>
          <w:sz w:val="28"/>
          <w:szCs w:val="28"/>
        </w:rPr>
        <w:t>Policy Documents</w:t>
      </w:r>
    </w:p>
    <w:p w14:paraId="30A80525"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National Framework of Qualifications (NFQ)</w:t>
      </w:r>
    </w:p>
    <w:p w14:paraId="38DA1CCE" w14:textId="56D9F4A2"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The NFQ provides the national structure for qualifications in Ireland, ensuring consistency and comparability both nationally and internationally. It aligns qualifications with labour market needs</w:t>
      </w:r>
      <w:r w:rsidR="00F711E0">
        <w:rPr>
          <w:rFonts w:ascii="Californian FB" w:eastAsia="Lustria" w:hAnsi="Californian FB" w:cs="Lustria"/>
          <w:color w:val="000000"/>
          <w:sz w:val="28"/>
          <w:szCs w:val="28"/>
        </w:rPr>
        <w:t>, ensuring that graduates possess</w:t>
      </w:r>
      <w:r w:rsidRPr="0068591D">
        <w:rPr>
          <w:rFonts w:ascii="Californian FB" w:eastAsia="Lustria" w:hAnsi="Californian FB" w:cs="Lustria"/>
          <w:color w:val="000000"/>
          <w:sz w:val="28"/>
          <w:szCs w:val="28"/>
        </w:rPr>
        <w:t xml:space="preserve"> the relevant skills and knowledge employers require.</w:t>
      </w:r>
    </w:p>
    <w:p w14:paraId="056FB095"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Immigration Regulations</w:t>
      </w:r>
    </w:p>
    <w:p w14:paraId="28D60611" w14:textId="7726464C"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 xml:space="preserve">Ireland’s immigration policies </w:t>
      </w:r>
      <w:r w:rsidR="00F711E0">
        <w:rPr>
          <w:rFonts w:ascii="Californian FB" w:eastAsia="Lustria" w:hAnsi="Californian FB" w:cs="Lustria"/>
          <w:color w:val="000000"/>
          <w:sz w:val="28"/>
          <w:szCs w:val="28"/>
        </w:rPr>
        <w:t>have a direct impact on</w:t>
      </w:r>
      <w:r w:rsidRPr="0068591D">
        <w:rPr>
          <w:rFonts w:ascii="Californian FB" w:eastAsia="Lustria" w:hAnsi="Californian FB" w:cs="Lustria"/>
          <w:color w:val="000000"/>
          <w:sz w:val="28"/>
          <w:szCs w:val="28"/>
        </w:rPr>
        <w:t xml:space="preserve"> graduate employability, particularly for international students. Initiatives such as the Third Level Graduate Scheme </w:t>
      </w:r>
      <w:r w:rsidR="00F711E0">
        <w:rPr>
          <w:rFonts w:ascii="Californian FB" w:eastAsia="Lustria" w:hAnsi="Californian FB" w:cs="Lustria"/>
          <w:color w:val="000000"/>
          <w:sz w:val="28"/>
          <w:szCs w:val="28"/>
        </w:rPr>
        <w:t>enable non-European Economic Area (non-EEA) graduates to apply for green cards or work permits after completing their studies. Additionally,</w:t>
      </w:r>
      <w:r w:rsidRPr="0068591D">
        <w:rPr>
          <w:rFonts w:ascii="Californian FB" w:eastAsia="Lustria" w:hAnsi="Californian FB" w:cs="Lustria"/>
          <w:color w:val="000000"/>
          <w:sz w:val="28"/>
          <w:szCs w:val="28"/>
        </w:rPr>
        <w:t xml:space="preserve"> non-EEA students can work part-time during their studies to gain valuable experience.</w:t>
      </w:r>
    </w:p>
    <w:p w14:paraId="445C3979"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Pathways to Work Strategy 2021–2025</w:t>
      </w:r>
    </w:p>
    <w:p w14:paraId="2115A0C3" w14:textId="18D9E845"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This national strategy focuses on supporting job seekers, with a</w:t>
      </w:r>
      <w:r w:rsidR="00F711E0">
        <w:rPr>
          <w:rFonts w:ascii="Californian FB" w:eastAsia="Lustria" w:hAnsi="Californian FB" w:cs="Lustria"/>
          <w:color w:val="000000"/>
          <w:sz w:val="28"/>
          <w:szCs w:val="28"/>
        </w:rPr>
        <w:t xml:space="preserve"> particular emphasis on youth, through activation measures, upskilling initiatives</w:t>
      </w:r>
      <w:r w:rsidRPr="0068591D">
        <w:rPr>
          <w:rFonts w:ascii="Californian FB" w:eastAsia="Lustria" w:hAnsi="Californian FB" w:cs="Lustria"/>
          <w:color w:val="000000"/>
          <w:sz w:val="28"/>
          <w:szCs w:val="28"/>
        </w:rPr>
        <w:t>, and employer engagement. It reinforces evidence-based services and aims to promote inclusive labour market participation.</w:t>
      </w:r>
    </w:p>
    <w:p w14:paraId="08BA7473"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Future Jobs Ireland 2019</w:t>
      </w:r>
    </w:p>
    <w:p w14:paraId="74120431"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This policy aims to prepare Ireland’s workforce for future economic challenges by enhancing skills development, supporting SME productivity, and boosting labour force participation.</w:t>
      </w:r>
    </w:p>
    <w:p w14:paraId="5D7283F6"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Employment Permits</w:t>
      </w:r>
    </w:p>
    <w:p w14:paraId="0D3D4B10"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Non-EEA nationals are required to secure employment permits to work in Ireland. This system is governed by clear regulations that balance labour market demands with immigration controls.</w:t>
      </w:r>
    </w:p>
    <w:p w14:paraId="48B1B614"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National Skills Strategy 2025</w:t>
      </w:r>
    </w:p>
    <w:p w14:paraId="64A3021E"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This strategy focuses on aligning education and training provision with the evolving needs of the labour market, emphasising lifelong learning and continuous skills development.</w:t>
      </w:r>
    </w:p>
    <w:p w14:paraId="60CB4E00" w14:textId="77777777" w:rsidR="0068591D" w:rsidRPr="0068591D" w:rsidRDefault="0068591D" w:rsidP="0068591D">
      <w:pPr>
        <w:spacing w:before="0" w:after="160" w:line="259" w:lineRule="auto"/>
        <w:ind w:left="360"/>
        <w:rPr>
          <w:rFonts w:ascii="Californian FB" w:eastAsia="Lustria" w:hAnsi="Californian FB" w:cs="Lustria"/>
          <w:b/>
          <w:bCs/>
          <w:color w:val="000000"/>
          <w:sz w:val="28"/>
          <w:szCs w:val="28"/>
        </w:rPr>
      </w:pPr>
      <w:r w:rsidRPr="0068591D">
        <w:rPr>
          <w:rFonts w:ascii="Californian FB" w:eastAsia="Lustria" w:hAnsi="Californian FB" w:cs="Lustria"/>
          <w:b/>
          <w:bCs/>
          <w:color w:val="000000"/>
          <w:sz w:val="28"/>
          <w:szCs w:val="28"/>
        </w:rPr>
        <w:t>ii) Non-Policy Documents</w:t>
      </w:r>
    </w:p>
    <w:p w14:paraId="220793FC"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Educational Institution Documents</w:t>
      </w:r>
    </w:p>
    <w:p w14:paraId="17C4F866"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lastRenderedPageBreak/>
        <w:t>Universities and colleges produce a range of supporting materials that promote graduate employability. These include detailed course outlines that highlight specific skills and competencies, career pathway guides, and resources on work-integrated learning opportunities.</w:t>
      </w:r>
    </w:p>
    <w:p w14:paraId="3C9CE719"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Career Services</w:t>
      </w:r>
    </w:p>
    <w:p w14:paraId="6A5A892A"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Career offices within institutions play an active role in preparing students and graduates for the job market. Services often include CV and cover letter writing workshops, mock interviews, job search support, and employer engagement events.</w:t>
      </w:r>
    </w:p>
    <w:p w14:paraId="5AA05184" w14:textId="77777777" w:rsidR="0068591D" w:rsidRPr="0068591D" w:rsidRDefault="0068591D" w:rsidP="0068591D">
      <w:pPr>
        <w:pStyle w:val="ListParagraph"/>
        <w:numPr>
          <w:ilvl w:val="0"/>
          <w:numId w:val="25"/>
        </w:numPr>
        <w:spacing w:before="0" w:after="160" w:line="259" w:lineRule="auto"/>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Industry Reports and Surveys</w:t>
      </w:r>
    </w:p>
    <w:p w14:paraId="53641D67" w14:textId="77777777" w:rsidR="0068591D" w:rsidRP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Research and reports produced by industry bodies provide up-to-date information on skills gaps, emerging trends, and employer expectations within specific sectors. This data helps graduates align their skills development and career planning with current and future market needs.</w:t>
      </w:r>
    </w:p>
    <w:p w14:paraId="2E67B1F1" w14:textId="77777777" w:rsidR="0068591D" w:rsidRDefault="0068591D" w:rsidP="0068591D">
      <w:pPr>
        <w:spacing w:before="0" w:after="160" w:line="259" w:lineRule="auto"/>
        <w:ind w:left="360"/>
        <w:rPr>
          <w:rFonts w:ascii="Californian FB" w:eastAsia="Lustria" w:hAnsi="Californian FB" w:cs="Lustria"/>
          <w:color w:val="000000"/>
          <w:sz w:val="28"/>
          <w:szCs w:val="28"/>
        </w:rPr>
      </w:pPr>
      <w:r w:rsidRPr="0068591D">
        <w:rPr>
          <w:rFonts w:ascii="Californian FB" w:eastAsia="Lustria" w:hAnsi="Californian FB" w:cs="Lustria"/>
          <w:color w:val="000000"/>
          <w:sz w:val="28"/>
          <w:szCs w:val="28"/>
        </w:rPr>
        <w:t>Together, these policy and non-policy instruments illustrate Ireland’s comprehensive and integrated approach to monitoring graduate employability and ensuring that higher education remains responsive to economic and social priorities.</w:t>
      </w:r>
    </w:p>
    <w:p w14:paraId="2F754D7B" w14:textId="77777777" w:rsidR="00955F2D" w:rsidRPr="0068591D" w:rsidRDefault="00955F2D" w:rsidP="0068591D">
      <w:pPr>
        <w:spacing w:before="0" w:after="160" w:line="259" w:lineRule="auto"/>
        <w:ind w:left="360"/>
        <w:rPr>
          <w:rFonts w:ascii="Californian FB" w:eastAsia="Lustria" w:hAnsi="Californian FB" w:cs="Lustria"/>
          <w:color w:val="000000"/>
          <w:sz w:val="28"/>
          <w:szCs w:val="28"/>
        </w:rPr>
      </w:pPr>
    </w:p>
    <w:p w14:paraId="6AD8453B" w14:textId="6C11C8C5" w:rsidR="00DB5C0D" w:rsidRDefault="00422810" w:rsidP="00DB5C0D">
      <w:pPr>
        <w:pStyle w:val="ListParagraph"/>
        <w:numPr>
          <w:ilvl w:val="0"/>
          <w:numId w:val="14"/>
        </w:numPr>
        <w:spacing w:before="0" w:after="160" w:line="259" w:lineRule="auto"/>
        <w:rPr>
          <w:rFonts w:ascii="Californian FB" w:eastAsia="Lustria" w:hAnsi="Californian FB" w:cs="Lustria"/>
          <w:b/>
          <w:bCs/>
          <w:color w:val="000000"/>
          <w:sz w:val="28"/>
          <w:szCs w:val="28"/>
        </w:rPr>
      </w:pPr>
      <w:r w:rsidRPr="000C0537">
        <w:rPr>
          <w:rFonts w:ascii="Californian FB" w:eastAsia="Lustria" w:hAnsi="Californian FB" w:cs="Lustria"/>
          <w:b/>
          <w:bCs/>
          <w:color w:val="000000"/>
          <w:sz w:val="28"/>
          <w:szCs w:val="28"/>
        </w:rPr>
        <w:t>Tools and mechanisms for Monitoring HE graduates’ employability; implementation approach for students and academic staff.</w:t>
      </w:r>
    </w:p>
    <w:p w14:paraId="109611E2" w14:textId="5B35BAD4"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Monitoring the employability of higher education graduates is recognised as a critical element in ensuring the continued quality and relevance of academic programmes in Ireland. A variety of well-established tools, mechanisms, and practices support this process, </w:t>
      </w:r>
      <w:r w:rsidR="00F711E0">
        <w:rPr>
          <w:rFonts w:ascii="Californian FB" w:eastAsia="Lustria" w:hAnsi="Californian FB" w:cs="Lustria"/>
          <w:color w:val="000000"/>
          <w:sz w:val="28"/>
          <w:szCs w:val="28"/>
        </w:rPr>
        <w:t>which combines collaboration among</w:t>
      </w:r>
      <w:r w:rsidRPr="00955F2D">
        <w:rPr>
          <w:rFonts w:ascii="Californian FB" w:eastAsia="Lustria" w:hAnsi="Californian FB" w:cs="Lustria"/>
          <w:color w:val="000000"/>
          <w:sz w:val="28"/>
          <w:szCs w:val="28"/>
        </w:rPr>
        <w:t xml:space="preserve"> government agencies, higher education institutions, and employers.</w:t>
      </w:r>
    </w:p>
    <w:p w14:paraId="6507F905"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proofErr w:type="spellStart"/>
      <w:r w:rsidRPr="00955F2D">
        <w:rPr>
          <w:rFonts w:ascii="Californian FB" w:eastAsia="Lustria" w:hAnsi="Californian FB" w:cs="Lustria"/>
          <w:b/>
          <w:bCs/>
          <w:color w:val="000000"/>
          <w:sz w:val="28"/>
          <w:szCs w:val="28"/>
        </w:rPr>
        <w:t>i</w:t>
      </w:r>
      <w:proofErr w:type="spellEnd"/>
      <w:r w:rsidRPr="00955F2D">
        <w:rPr>
          <w:rFonts w:ascii="Californian FB" w:eastAsia="Lustria" w:hAnsi="Californian FB" w:cs="Lustria"/>
          <w:b/>
          <w:bCs/>
          <w:color w:val="000000"/>
          <w:sz w:val="28"/>
          <w:szCs w:val="28"/>
        </w:rPr>
        <w:t>) Tools and Mechanisms for Monitoring Graduate Employability in Ireland</w:t>
      </w:r>
    </w:p>
    <w:p w14:paraId="74C6A7F4"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National Graduate Outcomes Survey (NGOS)</w:t>
      </w:r>
    </w:p>
    <w:p w14:paraId="042634F4" w14:textId="77777777"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Administered annually by the Higher Education Authority (HEA), this survey is conducted around nine months after graduation. It collects data on graduates’ employment status, the relevance of jobs to their field of study, salaries, further study, and location. Insights from the survey inform national policy, institutional strategies, and students’ own programme and career choices.</w:t>
      </w:r>
    </w:p>
    <w:p w14:paraId="0EE4D367"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lastRenderedPageBreak/>
        <w:t>Central Statistics Office (CSO) Graduate Outcome Data</w:t>
      </w:r>
    </w:p>
    <w:p w14:paraId="7B8EBE0D" w14:textId="0E4ED8F5"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Ireland’s CSO integrates education data from the HEA with tax and employment records, providing robust information on employment, earnings, and progression trends. This linkage ensures </w:t>
      </w:r>
      <w:r w:rsidR="00F711E0">
        <w:rPr>
          <w:rFonts w:ascii="Californian FB" w:eastAsia="Lustria" w:hAnsi="Californian FB" w:cs="Lustria"/>
          <w:color w:val="000000"/>
          <w:sz w:val="28"/>
          <w:szCs w:val="28"/>
        </w:rPr>
        <w:t xml:space="preserve">the collection of </w:t>
      </w:r>
      <w:r w:rsidRPr="00955F2D">
        <w:rPr>
          <w:rFonts w:ascii="Californian FB" w:eastAsia="Lustria" w:hAnsi="Californian FB" w:cs="Lustria"/>
          <w:color w:val="000000"/>
          <w:sz w:val="28"/>
          <w:szCs w:val="28"/>
        </w:rPr>
        <w:t>reliable, evidence-based data to support policy and planning.</w:t>
      </w:r>
    </w:p>
    <w:p w14:paraId="4F64C7F3"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Institutional Alumni Tracking Systems</w:t>
      </w:r>
    </w:p>
    <w:p w14:paraId="68579509" w14:textId="28DF01A5"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Universities and colleges maintain internal databases to track alumni career paths, facilitate employer engagement, and support mentoring and networking initiatives. These systems </w:t>
      </w:r>
      <w:r w:rsidR="00F711E0">
        <w:rPr>
          <w:rFonts w:ascii="Californian FB" w:eastAsia="Lustria" w:hAnsi="Californian FB" w:cs="Lustria"/>
          <w:color w:val="000000"/>
          <w:sz w:val="28"/>
          <w:szCs w:val="28"/>
        </w:rPr>
        <w:t>enable institutions to maintain long-term connections with graduates while monitoring key</w:t>
      </w:r>
      <w:r w:rsidRPr="00955F2D">
        <w:rPr>
          <w:rFonts w:ascii="Californian FB" w:eastAsia="Lustria" w:hAnsi="Californian FB" w:cs="Lustria"/>
          <w:color w:val="000000"/>
          <w:sz w:val="28"/>
          <w:szCs w:val="28"/>
        </w:rPr>
        <w:t xml:space="preserve"> employability metrics.</w:t>
      </w:r>
    </w:p>
    <w:p w14:paraId="4C59BECA"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Employment Feedback Mechanisms</w:t>
      </w:r>
    </w:p>
    <w:p w14:paraId="29F93735" w14:textId="77777777"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Many institutions conduct regular employer surveys to assess satisfaction with graduates’ skills and identify gaps between graduate competencies and industry requirements. This feedback loop helps universities adapt their programmes and learning outcomes to market needs.</w:t>
      </w:r>
    </w:p>
    <w:p w14:paraId="02EA99B0"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Work-Based Learning and Internships</w:t>
      </w:r>
    </w:p>
    <w:p w14:paraId="7D16AACF" w14:textId="52C657AF"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Structured internships and placements are integrated into degree programmes across institutions such as the University of Limerick, University College Cork, NUI Galway, TU Dublin, and the Technological University of the Shannon (TUS). These modules ensure that students gain practical experience in real-world environments, enhancing </w:t>
      </w:r>
      <w:r w:rsidR="00C648C1">
        <w:rPr>
          <w:rFonts w:ascii="Californian FB" w:eastAsia="Lustria" w:hAnsi="Californian FB" w:cs="Lustria"/>
          <w:color w:val="000000"/>
          <w:sz w:val="28"/>
          <w:szCs w:val="28"/>
        </w:rPr>
        <w:t xml:space="preserve">their </w:t>
      </w:r>
      <w:r w:rsidRPr="00955F2D">
        <w:rPr>
          <w:rFonts w:ascii="Californian FB" w:eastAsia="Lustria" w:hAnsi="Californian FB" w:cs="Lustria"/>
          <w:color w:val="000000"/>
          <w:sz w:val="28"/>
          <w:szCs w:val="28"/>
        </w:rPr>
        <w:t>employability prospects.</w:t>
      </w:r>
    </w:p>
    <w:p w14:paraId="48D85DAE"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Industry Partnerships and Mentoring</w:t>
      </w:r>
    </w:p>
    <w:p w14:paraId="2F8EB454" w14:textId="497C5C75"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Partnerships </w:t>
      </w:r>
      <w:r w:rsidR="00C648C1">
        <w:rPr>
          <w:rFonts w:ascii="Californian FB" w:eastAsia="Lustria" w:hAnsi="Californian FB" w:cs="Lustria"/>
          <w:color w:val="000000"/>
          <w:sz w:val="28"/>
          <w:szCs w:val="28"/>
        </w:rPr>
        <w:t>pair students with experienced professionals in their respective fields, offering</w:t>
      </w:r>
      <w:r w:rsidRPr="00955F2D">
        <w:rPr>
          <w:rFonts w:ascii="Californian FB" w:eastAsia="Lustria" w:hAnsi="Californian FB" w:cs="Lustria"/>
          <w:color w:val="000000"/>
          <w:sz w:val="28"/>
          <w:szCs w:val="28"/>
        </w:rPr>
        <w:t xml:space="preserve"> valuable guidance, networking opportunities, and industry insights.</w:t>
      </w:r>
    </w:p>
    <w:p w14:paraId="35A89299"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Integrated Career Education</w:t>
      </w:r>
    </w:p>
    <w:p w14:paraId="1F0CBD31" w14:textId="4688E77E" w:rsid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 xml:space="preserve">According to the Irish Times (2022), all third-level institutions offer career development services that support students in identifying career paths and preparing for life after college. Career offices provide resources such as CV and cover letter workshops, interview preparation, and sector-specific career events. Regular employer-led workshops, career </w:t>
      </w:r>
      <w:r w:rsidR="00C648C1">
        <w:rPr>
          <w:rFonts w:ascii="Californian FB" w:eastAsia="Lustria" w:hAnsi="Californian FB" w:cs="Lustria"/>
          <w:color w:val="000000"/>
          <w:sz w:val="28"/>
          <w:szCs w:val="28"/>
        </w:rPr>
        <w:t>boot camps, and panels also enhance</w:t>
      </w:r>
      <w:r w:rsidRPr="00955F2D">
        <w:rPr>
          <w:rFonts w:ascii="Californian FB" w:eastAsia="Lustria" w:hAnsi="Californian FB" w:cs="Lustria"/>
          <w:color w:val="000000"/>
          <w:sz w:val="28"/>
          <w:szCs w:val="28"/>
        </w:rPr>
        <w:t xml:space="preserve"> student engagement with potential employers.</w:t>
      </w:r>
    </w:p>
    <w:p w14:paraId="6B53B8AC" w14:textId="77777777" w:rsidR="00F711E0" w:rsidRPr="00955F2D" w:rsidRDefault="00F711E0" w:rsidP="00955F2D">
      <w:pPr>
        <w:spacing w:before="0" w:after="160" w:line="259" w:lineRule="auto"/>
        <w:ind w:left="360"/>
        <w:rPr>
          <w:rFonts w:ascii="Californian FB" w:eastAsia="Lustria" w:hAnsi="Californian FB" w:cs="Lustria"/>
          <w:color w:val="000000"/>
          <w:sz w:val="28"/>
          <w:szCs w:val="28"/>
        </w:rPr>
      </w:pPr>
    </w:p>
    <w:p w14:paraId="3AD20831"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lastRenderedPageBreak/>
        <w:t>Embedding Employability in Course Learning Outcomes</w:t>
      </w:r>
    </w:p>
    <w:p w14:paraId="26911BF7" w14:textId="77777777"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Collaboration between employers and academic staff ensures that employability modules and experiential learning are woven into programme content. Regular staff development and training help educators adapt to industry trends and maintain the relevance of their teaching.</w:t>
      </w:r>
    </w:p>
    <w:p w14:paraId="6D92953F" w14:textId="3909986E"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 xml:space="preserve">ii) </w:t>
      </w:r>
      <w:r w:rsidRPr="00955F2D">
        <w:rPr>
          <w:rFonts w:ascii="Californian FB" w:eastAsia="Lustria" w:hAnsi="Californian FB" w:cs="Lustria"/>
          <w:color w:val="000000"/>
          <w:sz w:val="28"/>
          <w:szCs w:val="28"/>
        </w:rPr>
        <w:t>Implementation Approach for Students and Academic Staff</w:t>
      </w:r>
    </w:p>
    <w:p w14:paraId="32154E1A"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For Students</w:t>
      </w:r>
    </w:p>
    <w:p w14:paraId="2CD177F1"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Integration of Employability Metrics into Career Services</w:t>
      </w:r>
    </w:p>
    <w:p w14:paraId="7AF324C0" w14:textId="77777777" w:rsidR="00955F2D" w:rsidRPr="00955F2D" w:rsidRDefault="00955F2D" w:rsidP="00955F2D">
      <w:pPr>
        <w:spacing w:before="0" w:after="160" w:line="259" w:lineRule="auto"/>
        <w:ind w:left="360"/>
        <w:rPr>
          <w:rFonts w:ascii="Californian FB" w:eastAsia="Lustria" w:hAnsi="Californian FB" w:cs="Lustria"/>
          <w:color w:val="000000"/>
          <w:sz w:val="28"/>
          <w:szCs w:val="28"/>
        </w:rPr>
      </w:pPr>
      <w:r w:rsidRPr="00955F2D">
        <w:rPr>
          <w:rFonts w:ascii="Californian FB" w:eastAsia="Lustria" w:hAnsi="Californian FB" w:cs="Lustria"/>
          <w:color w:val="000000"/>
          <w:sz w:val="28"/>
          <w:szCs w:val="28"/>
        </w:rPr>
        <w:t>Institutions embed real-time labour market data and graduate outcomes into career guidance to offer personalised career pathways based on data analytics.</w:t>
      </w:r>
    </w:p>
    <w:p w14:paraId="1187A94B" w14:textId="77777777" w:rsidR="00955F2D" w:rsidRPr="00955F2D" w:rsidRDefault="00955F2D" w:rsidP="00955F2D">
      <w:pPr>
        <w:pStyle w:val="ListParagraph"/>
        <w:numPr>
          <w:ilvl w:val="0"/>
          <w:numId w:val="25"/>
        </w:numPr>
        <w:spacing w:before="0" w:after="160" w:line="259" w:lineRule="auto"/>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Graduate Tracking Participation Campaigns</w:t>
      </w:r>
    </w:p>
    <w:p w14:paraId="1C7652A7" w14:textId="171D9819"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Students are encouraged to participate in surveys</w:t>
      </w:r>
      <w:r w:rsidR="00930A9E">
        <w:rPr>
          <w:rFonts w:ascii="Californian FB" w:eastAsia="Lustria" w:hAnsi="Californian FB" w:cs="Lustria"/>
          <w:color w:val="000000"/>
          <w:sz w:val="28"/>
          <w:szCs w:val="28"/>
        </w:rPr>
        <w:t>, such as those conducted by NGOs,</w:t>
      </w:r>
      <w:r w:rsidRPr="00C5103E">
        <w:rPr>
          <w:rFonts w:ascii="Californian FB" w:eastAsia="Lustria" w:hAnsi="Californian FB" w:cs="Lustria"/>
          <w:color w:val="000000"/>
          <w:sz w:val="28"/>
          <w:szCs w:val="28"/>
        </w:rPr>
        <w:t xml:space="preserve"> through awareness campaigns and incentives, ensuring high response rates and reliable data.</w:t>
      </w:r>
    </w:p>
    <w:p w14:paraId="74C77A9C" w14:textId="77777777" w:rsidR="00955F2D" w:rsidRPr="00C5103E" w:rsidRDefault="00955F2D" w:rsidP="00C5103E">
      <w:pPr>
        <w:pStyle w:val="ListParagraph"/>
        <w:numPr>
          <w:ilvl w:val="0"/>
          <w:numId w:val="25"/>
        </w:numPr>
        <w:spacing w:before="0" w:after="160" w:line="259" w:lineRule="auto"/>
        <w:rPr>
          <w:rFonts w:ascii="Californian FB" w:eastAsia="Lustria" w:hAnsi="Californian FB" w:cs="Lustria"/>
          <w:b/>
          <w:bCs/>
          <w:color w:val="000000"/>
          <w:sz w:val="28"/>
          <w:szCs w:val="28"/>
        </w:rPr>
      </w:pPr>
      <w:r w:rsidRPr="00C5103E">
        <w:rPr>
          <w:rFonts w:ascii="Californian FB" w:eastAsia="Lustria" w:hAnsi="Californian FB" w:cs="Lustria"/>
          <w:b/>
          <w:bCs/>
          <w:color w:val="000000"/>
          <w:sz w:val="28"/>
          <w:szCs w:val="28"/>
        </w:rPr>
        <w:t>Employer-Led Workshops and Feedback Sessions</w:t>
      </w:r>
    </w:p>
    <w:p w14:paraId="23B797E8" w14:textId="77777777"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Regular interactions with employers give students practical insights into job market trends and expectations.</w:t>
      </w:r>
    </w:p>
    <w:p w14:paraId="554B529B"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p>
    <w:p w14:paraId="45ACEE68"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t>For Academic Staff</w:t>
      </w:r>
    </w:p>
    <w:p w14:paraId="1642ED6A"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p>
    <w:p w14:paraId="209AC8FC" w14:textId="77777777" w:rsidR="00955F2D" w:rsidRPr="00C5103E" w:rsidRDefault="00955F2D" w:rsidP="00C5103E">
      <w:pPr>
        <w:pStyle w:val="ListParagraph"/>
        <w:numPr>
          <w:ilvl w:val="0"/>
          <w:numId w:val="25"/>
        </w:numPr>
        <w:spacing w:before="0" w:after="160" w:line="259" w:lineRule="auto"/>
        <w:rPr>
          <w:rFonts w:ascii="Californian FB" w:eastAsia="Lustria" w:hAnsi="Californian FB" w:cs="Lustria"/>
          <w:b/>
          <w:bCs/>
          <w:color w:val="000000"/>
          <w:sz w:val="28"/>
          <w:szCs w:val="28"/>
        </w:rPr>
      </w:pPr>
      <w:r w:rsidRPr="00C5103E">
        <w:rPr>
          <w:rFonts w:ascii="Californian FB" w:eastAsia="Lustria" w:hAnsi="Californian FB" w:cs="Lustria"/>
          <w:b/>
          <w:bCs/>
          <w:color w:val="000000"/>
          <w:sz w:val="28"/>
          <w:szCs w:val="28"/>
        </w:rPr>
        <w:t>Curriculum Alignment with Labour Market Needs</w:t>
      </w:r>
    </w:p>
    <w:p w14:paraId="6D1D3E57" w14:textId="77777777"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Outcomes from national and institutional surveys are used to inform programme reviews and ensure that both technical and transferable skills, such as communication and digital literacy, are embedded in course content.</w:t>
      </w:r>
    </w:p>
    <w:p w14:paraId="540C3CE2" w14:textId="77777777" w:rsidR="00955F2D" w:rsidRPr="00C5103E" w:rsidRDefault="00955F2D" w:rsidP="00C5103E">
      <w:pPr>
        <w:pStyle w:val="ListParagraph"/>
        <w:numPr>
          <w:ilvl w:val="0"/>
          <w:numId w:val="25"/>
        </w:numPr>
        <w:spacing w:before="0" w:after="160" w:line="259" w:lineRule="auto"/>
        <w:rPr>
          <w:rFonts w:ascii="Californian FB" w:eastAsia="Lustria" w:hAnsi="Californian FB" w:cs="Lustria"/>
          <w:b/>
          <w:bCs/>
          <w:color w:val="000000"/>
          <w:sz w:val="28"/>
          <w:szCs w:val="28"/>
        </w:rPr>
      </w:pPr>
      <w:r w:rsidRPr="00C5103E">
        <w:rPr>
          <w:rFonts w:ascii="Californian FB" w:eastAsia="Lustria" w:hAnsi="Californian FB" w:cs="Lustria"/>
          <w:b/>
          <w:bCs/>
          <w:color w:val="000000"/>
          <w:sz w:val="28"/>
          <w:szCs w:val="28"/>
        </w:rPr>
        <w:t>Research and Policy Engagement</w:t>
      </w:r>
    </w:p>
    <w:p w14:paraId="74887B79" w14:textId="77777777"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Academic staff are encouraged to contribute to research and policy development through workshops and co-authoring reports that use graduate employability data.</w:t>
      </w:r>
    </w:p>
    <w:p w14:paraId="17275487" w14:textId="77777777" w:rsidR="00955F2D" w:rsidRPr="00C5103E" w:rsidRDefault="00955F2D" w:rsidP="00C5103E">
      <w:pPr>
        <w:pStyle w:val="ListParagraph"/>
        <w:numPr>
          <w:ilvl w:val="0"/>
          <w:numId w:val="25"/>
        </w:numPr>
        <w:spacing w:before="0" w:after="160" w:line="259" w:lineRule="auto"/>
        <w:rPr>
          <w:rFonts w:ascii="Californian FB" w:eastAsia="Lustria" w:hAnsi="Californian FB" w:cs="Lustria"/>
          <w:b/>
          <w:bCs/>
          <w:color w:val="000000"/>
          <w:sz w:val="28"/>
          <w:szCs w:val="28"/>
        </w:rPr>
      </w:pPr>
      <w:r w:rsidRPr="00C5103E">
        <w:rPr>
          <w:rFonts w:ascii="Californian FB" w:eastAsia="Lustria" w:hAnsi="Californian FB" w:cs="Lustria"/>
          <w:b/>
          <w:bCs/>
          <w:color w:val="000000"/>
          <w:sz w:val="28"/>
          <w:szCs w:val="28"/>
        </w:rPr>
        <w:t>Training in Data-Driven Curriculum Design</w:t>
      </w:r>
    </w:p>
    <w:p w14:paraId="5AE29044" w14:textId="77777777"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Staff receive training to interpret and apply employability data to teaching, curriculum development, and assessment strategies.</w:t>
      </w:r>
    </w:p>
    <w:p w14:paraId="6D99DEE4" w14:textId="77777777" w:rsidR="00955F2D" w:rsidRPr="00955F2D" w:rsidRDefault="00955F2D" w:rsidP="00955F2D">
      <w:pPr>
        <w:spacing w:before="0" w:after="160" w:line="259" w:lineRule="auto"/>
        <w:ind w:left="360"/>
        <w:rPr>
          <w:rFonts w:ascii="Californian FB" w:eastAsia="Lustria" w:hAnsi="Californian FB" w:cs="Lustria"/>
          <w:b/>
          <w:bCs/>
          <w:color w:val="000000"/>
          <w:sz w:val="28"/>
          <w:szCs w:val="28"/>
        </w:rPr>
      </w:pPr>
      <w:r w:rsidRPr="00955F2D">
        <w:rPr>
          <w:rFonts w:ascii="Californian FB" w:eastAsia="Lustria" w:hAnsi="Californian FB" w:cs="Lustria"/>
          <w:b/>
          <w:bCs/>
          <w:color w:val="000000"/>
          <w:sz w:val="28"/>
          <w:szCs w:val="28"/>
        </w:rPr>
        <w:lastRenderedPageBreak/>
        <w:t>Examples in Practice</w:t>
      </w:r>
    </w:p>
    <w:p w14:paraId="2F1847DD" w14:textId="7603C0FB" w:rsidR="00955F2D" w:rsidRPr="00C5103E" w:rsidRDefault="00955F2D" w:rsidP="00955F2D">
      <w:pPr>
        <w:spacing w:before="0" w:after="160" w:line="259" w:lineRule="auto"/>
        <w:ind w:left="360"/>
        <w:rPr>
          <w:rFonts w:ascii="Californian FB" w:eastAsia="Lustria" w:hAnsi="Californian FB" w:cs="Lustria"/>
          <w:color w:val="000000"/>
          <w:sz w:val="28"/>
          <w:szCs w:val="28"/>
        </w:rPr>
      </w:pPr>
      <w:r w:rsidRPr="00C5103E">
        <w:rPr>
          <w:rFonts w:ascii="Californian FB" w:eastAsia="Lustria" w:hAnsi="Californian FB" w:cs="Lustria"/>
          <w:color w:val="000000"/>
          <w:sz w:val="28"/>
          <w:szCs w:val="28"/>
        </w:rPr>
        <w:t>The HEA’s annual Graduate Outcomes Survey provides key performance indicators used by institutions such as NUI Galway, which tracks employability rates and placement outcomes through its Quality Office. Structured internship modules are mandatory a</w:t>
      </w:r>
      <w:r w:rsidR="00F711E0">
        <w:rPr>
          <w:rFonts w:ascii="Californian FB" w:eastAsia="Lustria" w:hAnsi="Californian FB" w:cs="Lustria"/>
          <w:color w:val="000000"/>
          <w:sz w:val="28"/>
          <w:szCs w:val="28"/>
        </w:rPr>
        <w:t>t leading universities, providing students with</w:t>
      </w:r>
      <w:r w:rsidRPr="00C5103E">
        <w:rPr>
          <w:rFonts w:ascii="Californian FB" w:eastAsia="Lustria" w:hAnsi="Californian FB" w:cs="Lustria"/>
          <w:color w:val="000000"/>
          <w:sz w:val="28"/>
          <w:szCs w:val="28"/>
        </w:rPr>
        <w:t xml:space="preserve"> critical exposure to industry practices and professional environments.</w:t>
      </w:r>
      <w:r w:rsidR="00C5103E">
        <w:rPr>
          <w:rFonts w:ascii="Californian FB" w:eastAsia="Lustria" w:hAnsi="Californian FB" w:cs="Lustria"/>
          <w:color w:val="000000"/>
          <w:sz w:val="28"/>
          <w:szCs w:val="28"/>
        </w:rPr>
        <w:t xml:space="preserve"> </w:t>
      </w:r>
      <w:r w:rsidRPr="00C5103E">
        <w:rPr>
          <w:rFonts w:ascii="Californian FB" w:eastAsia="Lustria" w:hAnsi="Californian FB" w:cs="Lustria"/>
          <w:color w:val="000000"/>
          <w:sz w:val="28"/>
          <w:szCs w:val="28"/>
        </w:rPr>
        <w:t xml:space="preserve">Career offices </w:t>
      </w:r>
      <w:r w:rsidR="00F711E0">
        <w:rPr>
          <w:rFonts w:ascii="Californian FB" w:eastAsia="Lustria" w:hAnsi="Californian FB" w:cs="Lustria"/>
          <w:color w:val="000000"/>
          <w:sz w:val="28"/>
          <w:szCs w:val="28"/>
        </w:rPr>
        <w:t>serve as vital intermediaries between students and employers, utilizing their databases to monitor employment outcomes and continually refine their</w:t>
      </w:r>
      <w:r w:rsidRPr="00C5103E">
        <w:rPr>
          <w:rFonts w:ascii="Californian FB" w:eastAsia="Lustria" w:hAnsi="Californian FB" w:cs="Lustria"/>
          <w:color w:val="000000"/>
          <w:sz w:val="28"/>
          <w:szCs w:val="28"/>
        </w:rPr>
        <w:t xml:space="preserve"> services. This integrated approach — combining robust data collection, work-based learning, employer partnerships, and embedded career services — positions Irish graduates to enter the workforce with skills aligned to industry demands.</w:t>
      </w:r>
    </w:p>
    <w:p w14:paraId="7EFA1E0C" w14:textId="77777777" w:rsidR="00E03D78" w:rsidRPr="00E03D78" w:rsidRDefault="00E03D78" w:rsidP="00E03D78">
      <w:pPr>
        <w:spacing w:before="0" w:after="160" w:line="259" w:lineRule="auto"/>
        <w:rPr>
          <w:rFonts w:ascii="Californian FB" w:eastAsia="Lustria" w:hAnsi="Californian FB" w:cs="Lustria"/>
          <w:color w:val="000000"/>
          <w:sz w:val="28"/>
          <w:szCs w:val="28"/>
        </w:rPr>
      </w:pPr>
    </w:p>
    <w:p w14:paraId="5E8E6389" w14:textId="150913BF" w:rsidR="00422810" w:rsidRPr="008B1F3D" w:rsidRDefault="00422810" w:rsidP="00422810">
      <w:pPr>
        <w:pStyle w:val="ListParagraph"/>
        <w:numPr>
          <w:ilvl w:val="0"/>
          <w:numId w:val="14"/>
        </w:numPr>
        <w:spacing w:before="0" w:after="160" w:line="259" w:lineRule="auto"/>
        <w:rPr>
          <w:rFonts w:ascii="Californian FB" w:eastAsia="Lustria" w:hAnsi="Californian FB" w:cs="Lustria"/>
          <w:b/>
          <w:bCs/>
          <w:color w:val="000000"/>
          <w:sz w:val="28"/>
          <w:szCs w:val="28"/>
        </w:rPr>
      </w:pPr>
      <w:r w:rsidRPr="008B1F3D">
        <w:rPr>
          <w:rFonts w:ascii="Californian FB" w:eastAsia="Lustria" w:hAnsi="Californian FB" w:cs="Lustria"/>
          <w:b/>
          <w:bCs/>
          <w:color w:val="000000"/>
          <w:sz w:val="28"/>
          <w:szCs w:val="28"/>
        </w:rPr>
        <w:t>Topical initiatives and portals; learning outcomes.</w:t>
      </w:r>
    </w:p>
    <w:p w14:paraId="415B7C18" w14:textId="2C7E9C4C"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Ireland has implemented a variety of forward-looking initiatives to support graduate employability, rooted in an education system that prioritises work-integrated learning, inclusivity, skill-building, and lifelong development. These initiatives are designed to enhance both learning outcomes and the employability of </w:t>
      </w:r>
      <w:r w:rsidR="00F711E0">
        <w:rPr>
          <w:rFonts w:ascii="Californian FB" w:eastAsia="Lustria" w:hAnsi="Californian FB" w:cs="Lustria"/>
          <w:color w:val="000000"/>
          <w:sz w:val="28"/>
          <w:szCs w:val="28"/>
        </w:rPr>
        <w:t>graduates in higher education</w:t>
      </w:r>
      <w:r w:rsidRPr="00930A9E">
        <w:rPr>
          <w:rFonts w:ascii="Californian FB" w:eastAsia="Lustria" w:hAnsi="Californian FB" w:cs="Lustria"/>
          <w:color w:val="000000"/>
          <w:sz w:val="28"/>
          <w:szCs w:val="28"/>
        </w:rPr>
        <w:t>.</w:t>
      </w:r>
    </w:p>
    <w:p w14:paraId="3EBBB8E4" w14:textId="77777777" w:rsidR="00930A9E" w:rsidRPr="00930A9E" w:rsidRDefault="00930A9E" w:rsidP="00930A9E">
      <w:pPr>
        <w:spacing w:before="0" w:after="160" w:line="259" w:lineRule="auto"/>
        <w:ind w:left="360"/>
        <w:rPr>
          <w:rFonts w:ascii="Californian FB" w:eastAsia="Lustria" w:hAnsi="Californian FB" w:cs="Lustria"/>
          <w:b/>
          <w:bCs/>
          <w:color w:val="000000"/>
          <w:sz w:val="28"/>
          <w:szCs w:val="28"/>
        </w:rPr>
      </w:pPr>
      <w:proofErr w:type="spellStart"/>
      <w:r w:rsidRPr="00930A9E">
        <w:rPr>
          <w:rFonts w:ascii="Californian FB" w:eastAsia="Lustria" w:hAnsi="Californian FB" w:cs="Lustria"/>
          <w:color w:val="000000"/>
          <w:sz w:val="28"/>
          <w:szCs w:val="28"/>
        </w:rPr>
        <w:t>i</w:t>
      </w:r>
      <w:proofErr w:type="spellEnd"/>
      <w:r w:rsidRPr="00930A9E">
        <w:rPr>
          <w:rFonts w:ascii="Californian FB" w:eastAsia="Lustria" w:hAnsi="Californian FB" w:cs="Lustria"/>
          <w:color w:val="000000"/>
          <w:sz w:val="28"/>
          <w:szCs w:val="28"/>
        </w:rPr>
        <w:t xml:space="preserve">) </w:t>
      </w:r>
      <w:r w:rsidRPr="00930A9E">
        <w:rPr>
          <w:rFonts w:ascii="Californian FB" w:eastAsia="Lustria" w:hAnsi="Californian FB" w:cs="Lustria"/>
          <w:b/>
          <w:bCs/>
          <w:color w:val="000000"/>
          <w:sz w:val="28"/>
          <w:szCs w:val="28"/>
        </w:rPr>
        <w:t>National and Institutional Initiatives Supporting Employability</w:t>
      </w:r>
    </w:p>
    <w:p w14:paraId="16089E0E"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Work-Integrated Learning (WIL)</w:t>
      </w:r>
    </w:p>
    <w:p w14:paraId="63A43A5A"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WIL is a core feature of Irish higher education. Programmes commonly incorporate internships and placements that provide students with hands-on, real-world experience. These placements develop key transferable skills, improve graduate confidence, and enhance employability by aligning academic knowledge with professional practice.</w:t>
      </w:r>
    </w:p>
    <w:p w14:paraId="211F9491"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Youthreach</w:t>
      </w:r>
    </w:p>
    <w:p w14:paraId="53934D80"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This national initiative offers second-chance education opportunities to early school leavers aged 15 to 20. It serves as a bridge back into formal education or employment, targeting vulnerable youth populations with training, life skills, and vocational preparation.</w:t>
      </w:r>
    </w:p>
    <w:p w14:paraId="08EBB297"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Back to Education Allowance (BTEA)</w:t>
      </w:r>
    </w:p>
    <w:p w14:paraId="552F085F"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BTEA allows unemployed adults to pursue further or higher education while continuing to receive welfare payments. This initiative promotes social </w:t>
      </w:r>
      <w:r w:rsidRPr="00930A9E">
        <w:rPr>
          <w:rFonts w:ascii="Californian FB" w:eastAsia="Lustria" w:hAnsi="Californian FB" w:cs="Lustria"/>
          <w:color w:val="000000"/>
          <w:sz w:val="28"/>
          <w:szCs w:val="28"/>
        </w:rPr>
        <w:lastRenderedPageBreak/>
        <w:t>inclusion and access to lifelong learning, particularly for those seeking to reskill or upskill for better employment opportunities.</w:t>
      </w:r>
    </w:p>
    <w:p w14:paraId="0CC56BF7"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Curriculum Development and Industry Collaboration</w:t>
      </w:r>
    </w:p>
    <w:p w14:paraId="0CCB966F" w14:textId="580D5845"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Irish universities are proactively embedding employability competencies into curricula through employer-informed programme design. Curriculum frameworks </w:t>
      </w:r>
      <w:r w:rsidR="00F711E0">
        <w:rPr>
          <w:rFonts w:ascii="Californian FB" w:eastAsia="Lustria" w:hAnsi="Californian FB" w:cs="Lustria"/>
          <w:color w:val="000000"/>
          <w:sz w:val="28"/>
          <w:szCs w:val="28"/>
        </w:rPr>
        <w:t>are increasingly incorporating modules on digital literacy, communication, critical thinking, and entrepreneurship to ensure that</w:t>
      </w:r>
      <w:r w:rsidRPr="00930A9E">
        <w:rPr>
          <w:rFonts w:ascii="Californian FB" w:eastAsia="Lustria" w:hAnsi="Californian FB" w:cs="Lustria"/>
          <w:color w:val="000000"/>
          <w:sz w:val="28"/>
          <w:szCs w:val="28"/>
        </w:rPr>
        <w:t xml:space="preserve"> graduates possess market-relevant capabilities.</w:t>
      </w:r>
    </w:p>
    <w:p w14:paraId="14F0DB29"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Fostering a Positive Learning Culture</w:t>
      </w:r>
    </w:p>
    <w:p w14:paraId="7714833E" w14:textId="072889BA"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Higher education institutions are cultivating positive </w:t>
      </w:r>
      <w:r w:rsidR="00F711E0">
        <w:rPr>
          <w:rFonts w:ascii="Californian FB" w:eastAsia="Lustria" w:hAnsi="Californian FB" w:cs="Lustria"/>
          <w:color w:val="000000"/>
          <w:sz w:val="28"/>
          <w:szCs w:val="28"/>
        </w:rPr>
        <w:t>attitudes among students toward continuous learning and personal development. This focus on adaptability and self-directed growth equips graduates for evolving career paths and future upskilling opportunities</w:t>
      </w:r>
      <w:r w:rsidRPr="00930A9E">
        <w:rPr>
          <w:rFonts w:ascii="Californian FB" w:eastAsia="Lustria" w:hAnsi="Californian FB" w:cs="Lustria"/>
          <w:color w:val="000000"/>
          <w:sz w:val="28"/>
          <w:szCs w:val="28"/>
        </w:rPr>
        <w:t>.</w:t>
      </w:r>
    </w:p>
    <w:p w14:paraId="1E5DB8F1" w14:textId="77777777" w:rsidR="00930A9E" w:rsidRPr="00930A9E" w:rsidRDefault="00930A9E" w:rsidP="00930A9E">
      <w:pPr>
        <w:spacing w:before="0" w:after="160" w:line="259" w:lineRule="auto"/>
        <w:ind w:left="360"/>
        <w:rPr>
          <w:rFonts w:ascii="Californian FB" w:eastAsia="Lustria" w:hAnsi="Californian FB" w:cs="Lustria"/>
          <w:b/>
          <w:bCs/>
          <w:color w:val="000000"/>
          <w:sz w:val="28"/>
          <w:szCs w:val="28"/>
        </w:rPr>
      </w:pPr>
      <w:r w:rsidRPr="00930A9E">
        <w:rPr>
          <w:rFonts w:ascii="Californian FB" w:eastAsia="Lustria" w:hAnsi="Californian FB" w:cs="Lustria"/>
          <w:color w:val="000000"/>
          <w:sz w:val="28"/>
          <w:szCs w:val="28"/>
        </w:rPr>
        <w:t xml:space="preserve">ii) </w:t>
      </w:r>
      <w:r w:rsidRPr="00930A9E">
        <w:rPr>
          <w:rFonts w:ascii="Californian FB" w:eastAsia="Lustria" w:hAnsi="Californian FB" w:cs="Lustria"/>
          <w:b/>
          <w:bCs/>
          <w:color w:val="000000"/>
          <w:sz w:val="28"/>
          <w:szCs w:val="28"/>
        </w:rPr>
        <w:t>Institutional Initiatives and Platforms Enhancing Learning Outcomes</w:t>
      </w:r>
    </w:p>
    <w:p w14:paraId="0F39B54F"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Employability Workshops and Digital Career Portals</w:t>
      </w:r>
    </w:p>
    <w:p w14:paraId="33ED458E" w14:textId="3C0EE37E"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Universities such as NUI Galway and University College Dublin (UCD) run interdisciplinary employability workshops developed in collaboration with employers. According to O’Regan</w:t>
      </w:r>
      <w:r w:rsidR="00F711E0">
        <w:rPr>
          <w:rFonts w:ascii="Californian FB" w:eastAsia="Lustria" w:hAnsi="Californian FB" w:cs="Lustria"/>
          <w:color w:val="000000"/>
          <w:sz w:val="28"/>
          <w:szCs w:val="28"/>
        </w:rPr>
        <w:t xml:space="preserve">, </w:t>
      </w:r>
      <w:r w:rsidR="00F711E0" w:rsidRPr="0090345F">
        <w:rPr>
          <w:rFonts w:ascii="Californian FB" w:eastAsia="Lustria" w:hAnsi="Californian FB" w:cs="Lustria"/>
          <w:sz w:val="26"/>
          <w:szCs w:val="26"/>
        </w:rPr>
        <w:t>Carthy,</w:t>
      </w:r>
      <w:r w:rsidR="00F711E0">
        <w:rPr>
          <w:rFonts w:ascii="Californian FB" w:eastAsia="Lustria" w:hAnsi="Californian FB" w:cs="Lustria"/>
          <w:sz w:val="26"/>
          <w:szCs w:val="26"/>
        </w:rPr>
        <w:t xml:space="preserve"> </w:t>
      </w:r>
      <w:r w:rsidR="00F711E0" w:rsidRPr="0090345F">
        <w:rPr>
          <w:rFonts w:ascii="Californian FB" w:eastAsia="Lustria" w:hAnsi="Californian FB" w:cs="Lustria"/>
          <w:sz w:val="26"/>
          <w:szCs w:val="26"/>
        </w:rPr>
        <w:t xml:space="preserve">McGuinness and </w:t>
      </w:r>
      <w:proofErr w:type="spellStart"/>
      <w:r w:rsidR="00F711E0" w:rsidRPr="0090345F">
        <w:rPr>
          <w:rFonts w:ascii="Californian FB" w:eastAsia="Lustria" w:hAnsi="Californian FB" w:cs="Lustria"/>
          <w:sz w:val="26"/>
          <w:szCs w:val="26"/>
        </w:rPr>
        <w:t>Owende</w:t>
      </w:r>
      <w:proofErr w:type="spellEnd"/>
      <w:r w:rsidR="00F711E0">
        <w:rPr>
          <w:rFonts w:ascii="Californian FB" w:eastAsia="Lustria" w:hAnsi="Californian FB" w:cs="Lustria"/>
          <w:sz w:val="26"/>
          <w:szCs w:val="26"/>
        </w:rPr>
        <w:t xml:space="preserve"> </w:t>
      </w:r>
      <w:r w:rsidRPr="00930A9E">
        <w:rPr>
          <w:rFonts w:ascii="Californian FB" w:eastAsia="Lustria" w:hAnsi="Californian FB" w:cs="Lustria"/>
          <w:color w:val="000000"/>
          <w:sz w:val="28"/>
          <w:szCs w:val="28"/>
        </w:rPr>
        <w:t xml:space="preserve">(2023), these workshops </w:t>
      </w:r>
      <w:r w:rsidR="00F711E0">
        <w:rPr>
          <w:rFonts w:ascii="Californian FB" w:eastAsia="Lustria" w:hAnsi="Californian FB" w:cs="Lustria"/>
          <w:color w:val="000000"/>
          <w:sz w:val="28"/>
          <w:szCs w:val="28"/>
        </w:rPr>
        <w:t xml:space="preserve">resulted in a </w:t>
      </w:r>
      <w:r w:rsidRPr="00930A9E">
        <w:rPr>
          <w:rFonts w:ascii="Californian FB" w:eastAsia="Lustria" w:hAnsi="Californian FB" w:cs="Lustria"/>
          <w:color w:val="000000"/>
          <w:sz w:val="28"/>
          <w:szCs w:val="28"/>
        </w:rPr>
        <w:t xml:space="preserve">12.3% increase in scores on the </w:t>
      </w:r>
      <w:proofErr w:type="spellStart"/>
      <w:r w:rsidRPr="00930A9E">
        <w:rPr>
          <w:rFonts w:ascii="Californian FB" w:eastAsia="Lustria" w:hAnsi="Californian FB" w:cs="Lustria"/>
          <w:color w:val="000000"/>
          <w:sz w:val="28"/>
          <w:szCs w:val="28"/>
        </w:rPr>
        <w:t>CareerEDGE</w:t>
      </w:r>
      <w:proofErr w:type="spellEnd"/>
      <w:r w:rsidRPr="00930A9E">
        <w:rPr>
          <w:rFonts w:ascii="Californian FB" w:eastAsia="Lustria" w:hAnsi="Californian FB" w:cs="Lustria"/>
          <w:color w:val="000000"/>
          <w:sz w:val="28"/>
          <w:szCs w:val="28"/>
        </w:rPr>
        <w:t xml:space="preserve"> Employability Development Profile, demonstrating their impact on student readiness.</w:t>
      </w:r>
    </w:p>
    <w:p w14:paraId="7496C667"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Leading universities also utilise advanced digital platforms for career development:</w:t>
      </w:r>
    </w:p>
    <w:p w14:paraId="414EB0D6"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Careers Connect (NUI Galway) and </w:t>
      </w:r>
      <w:proofErr w:type="spellStart"/>
      <w:r w:rsidRPr="00930A9E">
        <w:rPr>
          <w:rFonts w:ascii="Californian FB" w:eastAsia="Lustria" w:hAnsi="Californian FB" w:cs="Lustria"/>
          <w:color w:val="000000"/>
          <w:sz w:val="28"/>
          <w:szCs w:val="28"/>
        </w:rPr>
        <w:t>MyCareer</w:t>
      </w:r>
      <w:proofErr w:type="spellEnd"/>
      <w:r w:rsidRPr="00930A9E">
        <w:rPr>
          <w:rFonts w:ascii="Californian FB" w:eastAsia="Lustria" w:hAnsi="Californian FB" w:cs="Lustria"/>
          <w:color w:val="000000"/>
          <w:sz w:val="28"/>
          <w:szCs w:val="28"/>
        </w:rPr>
        <w:t xml:space="preserve"> (UCD): Track student appointments, workshop attendance, and job applications.</w:t>
      </w:r>
    </w:p>
    <w:p w14:paraId="54A70DF2" w14:textId="7777777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12twenty (Trinity College Dublin): Offers centralised career service dashboards with application and outcome tracking.</w:t>
      </w:r>
    </w:p>
    <w:p w14:paraId="46C39F43" w14:textId="29BE7D87" w:rsidR="00930A9E" w:rsidRPr="00930A9E" w:rsidRDefault="00930A9E" w:rsidP="00930A9E">
      <w:pPr>
        <w:pStyle w:val="ListParagraph"/>
        <w:numPr>
          <w:ilvl w:val="0"/>
          <w:numId w:val="25"/>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Mock and </w:t>
      </w:r>
      <w:proofErr w:type="spellStart"/>
      <w:r w:rsidRPr="00930A9E">
        <w:rPr>
          <w:rFonts w:ascii="Californian FB" w:eastAsia="Lustria" w:hAnsi="Californian FB" w:cs="Lustria"/>
          <w:color w:val="000000"/>
          <w:sz w:val="28"/>
          <w:szCs w:val="28"/>
        </w:rPr>
        <w:t>CareerLeader</w:t>
      </w:r>
      <w:proofErr w:type="spellEnd"/>
      <w:r w:rsidRPr="00930A9E">
        <w:rPr>
          <w:rFonts w:ascii="Californian FB" w:eastAsia="Lustria" w:hAnsi="Californian FB" w:cs="Lustria"/>
          <w:color w:val="000000"/>
          <w:sz w:val="28"/>
          <w:szCs w:val="28"/>
        </w:rPr>
        <w:t>: Provide AI-driven, personalised feedback on CVs and psychometric profiles, helping students align their strengths with career paths.</w:t>
      </w:r>
    </w:p>
    <w:p w14:paraId="7285806B" w14:textId="4610125E" w:rsidR="00930A9E" w:rsidRPr="00930A9E" w:rsidRDefault="00930A9E" w:rsidP="00930A9E">
      <w:pPr>
        <w:spacing w:before="0" w:after="160" w:line="259" w:lineRule="auto"/>
        <w:rPr>
          <w:rFonts w:ascii="Californian FB" w:eastAsia="Lustria" w:hAnsi="Californian FB" w:cs="Lustria"/>
          <w:b/>
          <w:bCs/>
          <w:color w:val="000000"/>
          <w:sz w:val="28"/>
          <w:szCs w:val="28"/>
        </w:rPr>
      </w:pPr>
      <w:r>
        <w:rPr>
          <w:rFonts w:ascii="Californian FB" w:eastAsia="Lustria" w:hAnsi="Californian FB" w:cs="Lustria"/>
          <w:b/>
          <w:bCs/>
          <w:color w:val="000000"/>
          <w:sz w:val="28"/>
          <w:szCs w:val="28"/>
        </w:rPr>
        <w:t>iii)</w:t>
      </w:r>
      <w:r>
        <w:rPr>
          <w:rFonts w:ascii="Californian FB" w:eastAsia="Lustria" w:hAnsi="Californian FB" w:cs="Lustria"/>
          <w:b/>
          <w:bCs/>
          <w:color w:val="000000"/>
          <w:sz w:val="28"/>
          <w:szCs w:val="28"/>
        </w:rPr>
        <w:tab/>
      </w:r>
      <w:r w:rsidRPr="00930A9E">
        <w:rPr>
          <w:rFonts w:ascii="Californian FB" w:eastAsia="Lustria" w:hAnsi="Californian FB" w:cs="Lustria"/>
          <w:b/>
          <w:bCs/>
          <w:color w:val="000000"/>
          <w:sz w:val="28"/>
          <w:szCs w:val="28"/>
        </w:rPr>
        <w:t>Practice-Based Learning</w:t>
      </w:r>
    </w:p>
    <w:p w14:paraId="069C803C"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 xml:space="preserve">Practice-based learning is a signature of institutions like Technological University Dublin (TU Dublin), where students engage in applied learning from their first semester. Students are evaluated not only on academic understanding but also on their capacity to solve real-world challenges </w:t>
      </w:r>
      <w:r w:rsidRPr="00930A9E">
        <w:rPr>
          <w:rFonts w:ascii="Californian FB" w:eastAsia="Lustria" w:hAnsi="Californian FB" w:cs="Lustria"/>
          <w:color w:val="000000"/>
          <w:sz w:val="28"/>
          <w:szCs w:val="28"/>
        </w:rPr>
        <w:lastRenderedPageBreak/>
        <w:t>through innovation, collaboration, and applied problem-solving. This model strengthens learning outcomes and graduate confidence.</w:t>
      </w:r>
    </w:p>
    <w:p w14:paraId="67AA4490" w14:textId="77777777" w:rsidR="00930A9E" w:rsidRPr="00930A9E" w:rsidRDefault="00930A9E" w:rsidP="00930A9E">
      <w:pPr>
        <w:pStyle w:val="ListParagraph"/>
        <w:numPr>
          <w:ilvl w:val="0"/>
          <w:numId w:val="26"/>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Mentorship and Peer Support</w:t>
      </w:r>
    </w:p>
    <w:p w14:paraId="0A1532F0"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Some institutions integrate mentorship programmes that pair students with alumni or industry professionals. These relationships provide guidance, motivation, and industry insight, while also strengthening networking opportunities.</w:t>
      </w:r>
    </w:p>
    <w:p w14:paraId="1658D002" w14:textId="77777777" w:rsidR="00930A9E" w:rsidRPr="00930A9E" w:rsidRDefault="00930A9E" w:rsidP="00930A9E">
      <w:pPr>
        <w:pStyle w:val="ListParagraph"/>
        <w:numPr>
          <w:ilvl w:val="0"/>
          <w:numId w:val="26"/>
        </w:numPr>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Career Bootcamps and Sector Panels</w:t>
      </w:r>
    </w:p>
    <w:p w14:paraId="68308BC8" w14:textId="77777777" w:rsidR="00930A9E" w:rsidRPr="00930A9E" w:rsidRDefault="00930A9E" w:rsidP="00930A9E">
      <w:pPr>
        <w:spacing w:before="0" w:after="160" w:line="259" w:lineRule="auto"/>
        <w:ind w:left="360"/>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Institutions host regular events such as career bootcamps, sector-specific employer panels, and resume/interview clinics to ensure that students are well-prepared to transition into the workforce.</w:t>
      </w:r>
    </w:p>
    <w:p w14:paraId="4E41128E" w14:textId="77777777" w:rsidR="00B53E1E" w:rsidRDefault="00B53E1E" w:rsidP="00B53E1E">
      <w:pPr>
        <w:spacing w:before="0" w:after="160" w:line="259" w:lineRule="auto"/>
        <w:ind w:left="360"/>
        <w:rPr>
          <w:rFonts w:ascii="Californian FB" w:eastAsia="Lustria" w:hAnsi="Californian FB" w:cs="Lustria"/>
          <w:color w:val="000000"/>
          <w:sz w:val="28"/>
          <w:szCs w:val="28"/>
        </w:rPr>
      </w:pPr>
    </w:p>
    <w:p w14:paraId="178D5B9C" w14:textId="5DA2B0D7" w:rsidR="00422810" w:rsidRDefault="00422810" w:rsidP="00422810">
      <w:pPr>
        <w:pStyle w:val="ListParagraph"/>
        <w:numPr>
          <w:ilvl w:val="0"/>
          <w:numId w:val="14"/>
        </w:numPr>
        <w:spacing w:before="0" w:after="160" w:line="259" w:lineRule="auto"/>
        <w:rPr>
          <w:rFonts w:ascii="Californian FB" w:eastAsia="Lustria" w:hAnsi="Californian FB" w:cs="Lustria"/>
          <w:b/>
          <w:bCs/>
          <w:color w:val="000000"/>
          <w:sz w:val="28"/>
          <w:szCs w:val="28"/>
        </w:rPr>
      </w:pPr>
      <w:r w:rsidRPr="003B0C0C">
        <w:rPr>
          <w:rFonts w:ascii="Californian FB" w:eastAsia="Lustria" w:hAnsi="Californian FB" w:cs="Lustria"/>
          <w:b/>
          <w:bCs/>
          <w:color w:val="000000"/>
          <w:sz w:val="28"/>
          <w:szCs w:val="28"/>
        </w:rPr>
        <w:t xml:space="preserve">Conclusions and </w:t>
      </w:r>
      <w:r w:rsidR="00930A9E" w:rsidRPr="003B0C0C">
        <w:rPr>
          <w:rFonts w:ascii="Californian FB" w:eastAsia="Lustria" w:hAnsi="Californian FB" w:cs="Lustria"/>
          <w:b/>
          <w:bCs/>
          <w:color w:val="000000"/>
          <w:sz w:val="28"/>
          <w:szCs w:val="28"/>
        </w:rPr>
        <w:t>recommendations.</w:t>
      </w:r>
    </w:p>
    <w:p w14:paraId="1B55932C" w14:textId="77777777" w:rsid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4F4FFFC5" w14:textId="77777777" w:rsidR="00930A9E" w:rsidRPr="00930A9E" w:rsidRDefault="00930A9E" w:rsidP="00930A9E">
      <w:pPr>
        <w:pStyle w:val="ListParagraph"/>
        <w:spacing w:before="0" w:after="160" w:line="259" w:lineRule="auto"/>
        <w:rPr>
          <w:rFonts w:ascii="Californian FB" w:eastAsia="Lustria" w:hAnsi="Californian FB" w:cs="Lustria"/>
          <w:color w:val="000000"/>
          <w:sz w:val="28"/>
          <w:szCs w:val="28"/>
        </w:rPr>
      </w:pPr>
      <w:r w:rsidRPr="00930A9E">
        <w:rPr>
          <w:rFonts w:ascii="Californian FB" w:eastAsia="Lustria" w:hAnsi="Californian FB" w:cs="Lustria"/>
          <w:color w:val="000000"/>
          <w:sz w:val="28"/>
          <w:szCs w:val="28"/>
        </w:rPr>
        <w:t>Ireland presents a comprehensive and highly structured approach to monitoring graduate employability and aligning higher education outcomes with labour market demands. The system is underpinned by both national policy frameworks and institution-led strategies that reflect global best practices.</w:t>
      </w:r>
    </w:p>
    <w:p w14:paraId="4B1407F3"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5A81D7E2"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r w:rsidRPr="00930A9E">
        <w:rPr>
          <w:rFonts w:ascii="Californian FB" w:eastAsia="Lustria" w:hAnsi="Californian FB" w:cs="Lustria"/>
          <w:b/>
          <w:bCs/>
          <w:color w:val="000000"/>
          <w:sz w:val="28"/>
          <w:szCs w:val="28"/>
        </w:rPr>
        <w:t>Conclusions</w:t>
      </w:r>
    </w:p>
    <w:p w14:paraId="4243D470"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3F39B6A3"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Comprehensive Monitoring Systems</w:t>
      </w:r>
    </w:p>
    <w:p w14:paraId="24205EE9"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Ireland has developed robust digital and survey-based systems, such as the National Graduate Outcome Survey (NGOS) and Central Statistics Office (CSO) data linkages. These tools enable precise tracking of graduate employment, salaries, further studies, and alignment with field of study. They are supported by national frameworks through the Higher Education Authority (HEA) and enhanced by institutional dashboards and alumni tracking systems.</w:t>
      </w:r>
    </w:p>
    <w:p w14:paraId="08E5E65E"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p>
    <w:p w14:paraId="76C34FD4"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Integrated Curriculum Strategy</w:t>
      </w:r>
    </w:p>
    <w:p w14:paraId="3DDA743F"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Top Irish universities effectively embed employability into curricula from the onset, using practice-based and work-integrated learning (WIL). Programmes are co-designed with employers to reflect real-world skills and emerging industry needs, supported by employability frameworks and continuous curriculum reviews.</w:t>
      </w:r>
    </w:p>
    <w:p w14:paraId="00AA7506"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26581C61"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Student-Centred Career Services</w:t>
      </w:r>
    </w:p>
    <w:p w14:paraId="1D458DBB"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Career development services are deeply integrated into academic life. These include digital platforms, employer-led workshops, bootcamps, and personalised advising that supports students throughout their studies and beyond graduation.</w:t>
      </w:r>
    </w:p>
    <w:p w14:paraId="105B11C5"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p>
    <w:p w14:paraId="10C571B2"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Inclusive Learning and Upskilling Pathways</w:t>
      </w:r>
    </w:p>
    <w:p w14:paraId="01A78190"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Initiatives such as Youthreach and the Back to Education Allowance ensure inclusive access to education for vulnerable and adult populations, contributing to national goals of equity and social mobility.</w:t>
      </w:r>
    </w:p>
    <w:p w14:paraId="12221C83"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p>
    <w:p w14:paraId="41AC8959"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Collaborative Governance and Industry Engagement</w:t>
      </w:r>
    </w:p>
    <w:p w14:paraId="131DE810"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Strong links between government, academia, and industry ensure that programmes remain relevant and forward-looking, with graduates entering the workforce prepared for dynamic and evolving sectors.</w:t>
      </w:r>
    </w:p>
    <w:p w14:paraId="7D5C6149"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5C0D258E"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r w:rsidRPr="00930A9E">
        <w:rPr>
          <w:rFonts w:ascii="Californian FB" w:eastAsia="Lustria" w:hAnsi="Californian FB" w:cs="Lustria"/>
          <w:b/>
          <w:bCs/>
          <w:color w:val="000000"/>
          <w:sz w:val="28"/>
          <w:szCs w:val="28"/>
        </w:rPr>
        <w:t>Recommendations</w:t>
      </w:r>
    </w:p>
    <w:p w14:paraId="7F66921F" w14:textId="77777777" w:rsidR="00930A9E" w:rsidRPr="00930A9E" w:rsidRDefault="00930A9E" w:rsidP="00930A9E">
      <w:pPr>
        <w:pStyle w:val="ListParagraph"/>
        <w:spacing w:before="0" w:after="160" w:line="259" w:lineRule="auto"/>
        <w:rPr>
          <w:rFonts w:ascii="Californian FB" w:eastAsia="Lustria" w:hAnsi="Californian FB" w:cs="Lustria"/>
          <w:b/>
          <w:bCs/>
          <w:color w:val="000000"/>
          <w:sz w:val="28"/>
          <w:szCs w:val="28"/>
        </w:rPr>
      </w:pPr>
    </w:p>
    <w:p w14:paraId="1D00B1CA"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Adopt Multi-Channel Monitoring Mechanisms</w:t>
      </w:r>
    </w:p>
    <w:p w14:paraId="3EB1560B"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Institutions should invest in longitudinal surveys, data linkages with tax/employment records, and digital platforms for real-time outcome tracking to improve decision-making and programme relevance.</w:t>
      </w:r>
    </w:p>
    <w:p w14:paraId="66252AFD" w14:textId="7B2796DA"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 xml:space="preserve">Embed Employability Early and </w:t>
      </w:r>
      <w:r w:rsidR="00F711E0">
        <w:rPr>
          <w:rFonts w:ascii="Californian FB" w:eastAsia="Lustria" w:hAnsi="Californian FB" w:cs="Lustria"/>
          <w:color w:val="000000"/>
          <w:sz w:val="28"/>
          <w:szCs w:val="28"/>
        </w:rPr>
        <w:t>robustly.</w:t>
      </w:r>
    </w:p>
    <w:p w14:paraId="3AEF24B2"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Employability should not be an add-on but a core part of academic programmes from the first year, including experiential learning, soft skills training, and industry exposure.</w:t>
      </w:r>
    </w:p>
    <w:p w14:paraId="0497A579"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Leverage Career Technology Platforms</w:t>
      </w:r>
    </w:p>
    <w:p w14:paraId="48B3BC18"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Universities should develop or adopt platforms that track student engagement with career services, job applications, and alumni feedback to ensure continuous support and outcome analysis.</w:t>
      </w:r>
    </w:p>
    <w:p w14:paraId="6A57381D"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Strengthen Industry-Education Collaboration</w:t>
      </w:r>
    </w:p>
    <w:p w14:paraId="2F1097CA"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Ensure that curriculum development is regularly informed by employer feedback and that programmes are reviewed jointly with industry partners to close the skills gap.</w:t>
      </w:r>
    </w:p>
    <w:p w14:paraId="38D61CAE"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Promote Inclusive Access to Learning and Work</w:t>
      </w:r>
    </w:p>
    <w:p w14:paraId="091703C6"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Design pathways and funding mechanisms that support marginalised groups, such as early school leavers and unemployed adults, to reintegrate into the education and employment systems.</w:t>
      </w:r>
    </w:p>
    <w:p w14:paraId="220B5822"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lastRenderedPageBreak/>
        <w:t>National Alignment on Qualifications and Strategy</w:t>
      </w:r>
    </w:p>
    <w:p w14:paraId="2840E745" w14:textId="77777777" w:rsidR="00930A9E" w:rsidRPr="00F711E0" w:rsidRDefault="00930A9E" w:rsidP="00F711E0">
      <w:pPr>
        <w:pStyle w:val="ListParagraph"/>
        <w:numPr>
          <w:ilvl w:val="0"/>
          <w:numId w:val="26"/>
        </w:numPr>
        <w:spacing w:before="0" w:after="160" w:line="259" w:lineRule="auto"/>
        <w:rPr>
          <w:rFonts w:ascii="Californian FB" w:eastAsia="Lustria" w:hAnsi="Californian FB" w:cs="Lustria"/>
          <w:color w:val="000000"/>
          <w:sz w:val="28"/>
          <w:szCs w:val="28"/>
        </w:rPr>
      </w:pPr>
      <w:r w:rsidRPr="00F711E0">
        <w:rPr>
          <w:rFonts w:ascii="Californian FB" w:eastAsia="Lustria" w:hAnsi="Californian FB" w:cs="Lustria"/>
          <w:color w:val="000000"/>
          <w:sz w:val="28"/>
          <w:szCs w:val="28"/>
        </w:rPr>
        <w:t>Use national frameworks such as the NFQ, National Skills Strategy, and Future Jobs Ireland as guiding tools for institutions to align qualifications, graduate attributes, and strategic priorities with national development goals.</w:t>
      </w:r>
    </w:p>
    <w:p w14:paraId="461C9964" w14:textId="77777777" w:rsidR="00930A9E" w:rsidRPr="00F711E0" w:rsidRDefault="00930A9E" w:rsidP="00930A9E">
      <w:pPr>
        <w:pStyle w:val="ListParagraph"/>
        <w:spacing w:before="0" w:after="160" w:line="259" w:lineRule="auto"/>
        <w:rPr>
          <w:rFonts w:ascii="Californian FB" w:eastAsia="Lustria" w:hAnsi="Californian FB" w:cs="Lustria"/>
          <w:color w:val="000000"/>
          <w:sz w:val="28"/>
          <w:szCs w:val="28"/>
        </w:rPr>
      </w:pPr>
    </w:p>
    <w:p w14:paraId="411DF08A" w14:textId="77777777" w:rsidR="00B53E1E" w:rsidRPr="00F711E0" w:rsidRDefault="00B53E1E" w:rsidP="00B53E1E">
      <w:pPr>
        <w:spacing w:before="0" w:after="160" w:line="259" w:lineRule="auto"/>
        <w:ind w:left="360"/>
        <w:rPr>
          <w:rFonts w:ascii="Californian FB" w:eastAsia="Lustria" w:hAnsi="Californian FB" w:cs="Lustria"/>
          <w:color w:val="000000"/>
          <w:sz w:val="28"/>
          <w:szCs w:val="28"/>
        </w:rPr>
      </w:pPr>
    </w:p>
    <w:p w14:paraId="38B758AD" w14:textId="77777777" w:rsidR="00B53E1E" w:rsidRPr="00F711E0" w:rsidRDefault="00B53E1E" w:rsidP="00B53E1E">
      <w:pPr>
        <w:spacing w:before="0" w:after="160" w:line="259" w:lineRule="auto"/>
        <w:ind w:left="360"/>
        <w:rPr>
          <w:rFonts w:ascii="Californian FB" w:eastAsia="Lustria" w:hAnsi="Californian FB" w:cs="Lustria"/>
          <w:color w:val="000000"/>
          <w:sz w:val="28"/>
          <w:szCs w:val="28"/>
        </w:rPr>
      </w:pPr>
    </w:p>
    <w:p w14:paraId="44CCA046" w14:textId="77777777" w:rsidR="00B53E1E" w:rsidRDefault="00B53E1E" w:rsidP="00B53E1E">
      <w:pPr>
        <w:spacing w:before="0" w:after="160" w:line="259" w:lineRule="auto"/>
        <w:ind w:left="360"/>
        <w:rPr>
          <w:rFonts w:ascii="Californian FB" w:eastAsia="Lustria" w:hAnsi="Californian FB" w:cs="Lustria"/>
          <w:color w:val="000000"/>
          <w:sz w:val="28"/>
          <w:szCs w:val="28"/>
        </w:rPr>
      </w:pPr>
    </w:p>
    <w:p w14:paraId="61595752" w14:textId="77777777" w:rsidR="00B53E1E" w:rsidRDefault="00B53E1E" w:rsidP="00B53E1E">
      <w:pPr>
        <w:spacing w:before="0" w:after="160" w:line="259" w:lineRule="auto"/>
        <w:ind w:left="360"/>
        <w:rPr>
          <w:rFonts w:ascii="Californian FB" w:eastAsia="Lustria" w:hAnsi="Californian FB" w:cs="Lustria"/>
          <w:color w:val="000000"/>
          <w:sz w:val="28"/>
          <w:szCs w:val="28"/>
        </w:rPr>
      </w:pPr>
    </w:p>
    <w:p w14:paraId="7FC14B27" w14:textId="77777777" w:rsidR="00B53E1E" w:rsidRDefault="00B53E1E" w:rsidP="00B53E1E">
      <w:pPr>
        <w:spacing w:before="0" w:after="160" w:line="259" w:lineRule="auto"/>
        <w:ind w:left="360"/>
        <w:rPr>
          <w:rFonts w:ascii="Californian FB" w:eastAsia="Lustria" w:hAnsi="Californian FB" w:cs="Lustria"/>
          <w:color w:val="000000"/>
          <w:sz w:val="28"/>
          <w:szCs w:val="28"/>
        </w:rPr>
      </w:pPr>
    </w:p>
    <w:p w14:paraId="32E1C362" w14:textId="77777777" w:rsidR="00B53E1E" w:rsidRDefault="00B53E1E" w:rsidP="00B53E1E">
      <w:pPr>
        <w:spacing w:before="0" w:after="160" w:line="259" w:lineRule="auto"/>
        <w:ind w:left="360"/>
        <w:rPr>
          <w:rFonts w:ascii="Californian FB" w:eastAsia="Lustria" w:hAnsi="Californian FB" w:cs="Lustria"/>
          <w:color w:val="000000"/>
          <w:sz w:val="28"/>
          <w:szCs w:val="28"/>
        </w:rPr>
      </w:pPr>
    </w:p>
    <w:p w14:paraId="162A73C6"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52822B2A"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3EAC8DCF"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46D7A9E5"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6A075070"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46BEB72D"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3A339A47"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1D15F232"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09444D24"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473700D3"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1C03ABE4"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3DAB7789"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0107A670"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242DBA05"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5F752246"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3571FB7F" w14:textId="77777777" w:rsidR="00F711E0" w:rsidRDefault="00F711E0" w:rsidP="00B53E1E">
      <w:pPr>
        <w:spacing w:before="0" w:after="160" w:line="259" w:lineRule="auto"/>
        <w:ind w:left="360"/>
        <w:rPr>
          <w:rFonts w:ascii="Californian FB" w:eastAsia="Lustria" w:hAnsi="Californian FB" w:cs="Lustria"/>
          <w:color w:val="000000"/>
          <w:sz w:val="28"/>
          <w:szCs w:val="28"/>
        </w:rPr>
      </w:pPr>
    </w:p>
    <w:p w14:paraId="26ED0964" w14:textId="77777777" w:rsidR="00B53E1E" w:rsidRPr="0086440D" w:rsidRDefault="00B53E1E" w:rsidP="00B53E1E">
      <w:pPr>
        <w:spacing w:before="0" w:after="160" w:line="259" w:lineRule="auto"/>
        <w:ind w:left="360"/>
        <w:rPr>
          <w:rFonts w:ascii="Californian FB" w:eastAsia="Lustria" w:hAnsi="Californian FB" w:cs="Lustria"/>
          <w:color w:val="000000"/>
          <w:sz w:val="28"/>
          <w:szCs w:val="28"/>
        </w:rPr>
      </w:pPr>
    </w:p>
    <w:p w14:paraId="0E894177" w14:textId="7629EBD4" w:rsidR="009521E4" w:rsidRPr="0086440D" w:rsidRDefault="00422810" w:rsidP="009521E4">
      <w:pPr>
        <w:pStyle w:val="ListParagraph"/>
        <w:numPr>
          <w:ilvl w:val="0"/>
          <w:numId w:val="14"/>
        </w:numPr>
        <w:spacing w:before="0" w:after="160" w:line="259" w:lineRule="auto"/>
        <w:rPr>
          <w:rFonts w:ascii="Californian FB" w:eastAsia="Lustria" w:hAnsi="Californian FB" w:cs="Lustria"/>
          <w:b/>
          <w:bCs/>
          <w:color w:val="000000"/>
          <w:sz w:val="28"/>
          <w:szCs w:val="28"/>
        </w:rPr>
      </w:pPr>
      <w:r w:rsidRPr="0086440D">
        <w:rPr>
          <w:rFonts w:ascii="Californian FB" w:eastAsia="Lustria" w:hAnsi="Californian FB" w:cs="Lustria"/>
          <w:b/>
          <w:bCs/>
          <w:color w:val="000000"/>
          <w:sz w:val="28"/>
          <w:szCs w:val="28"/>
        </w:rPr>
        <w:lastRenderedPageBreak/>
        <w:t xml:space="preserve">References and annexes </w:t>
      </w:r>
    </w:p>
    <w:p w14:paraId="26086922" w14:textId="3DBBFC7F" w:rsidR="009521E4" w:rsidRDefault="009521E4" w:rsidP="009521E4">
      <w:pPr>
        <w:rPr>
          <w:rFonts w:ascii="Californian FB" w:eastAsia="Lustria" w:hAnsi="Californian FB" w:cs="Lustria"/>
          <w:sz w:val="26"/>
          <w:szCs w:val="26"/>
        </w:rPr>
      </w:pPr>
      <w:r>
        <w:rPr>
          <w:rFonts w:ascii="Californian FB" w:eastAsia="Lustria" w:hAnsi="Californian FB" w:cs="Lustria"/>
          <w:sz w:val="26"/>
          <w:szCs w:val="26"/>
        </w:rPr>
        <w:t>Higher Education Authority (2023)</w:t>
      </w:r>
      <w:r w:rsidR="0086440D">
        <w:rPr>
          <w:rFonts w:ascii="Californian FB" w:eastAsia="Lustria" w:hAnsi="Californian FB" w:cs="Lustria"/>
          <w:sz w:val="26"/>
          <w:szCs w:val="26"/>
        </w:rPr>
        <w:t>,</w:t>
      </w:r>
      <w:r>
        <w:rPr>
          <w:rFonts w:ascii="Californian FB" w:eastAsia="Lustria" w:hAnsi="Californian FB" w:cs="Lustria"/>
          <w:sz w:val="26"/>
          <w:szCs w:val="26"/>
        </w:rPr>
        <w:t xml:space="preserve"> Graduate Outcomes Survey [online]. Available at: </w:t>
      </w:r>
      <w:hyperlink r:id="rId8" w:history="1">
        <w:r w:rsidRPr="00BB0697">
          <w:rPr>
            <w:rStyle w:val="Hyperlink"/>
            <w:rFonts w:ascii="Californian FB" w:eastAsia="Lustria" w:hAnsi="Californian FB" w:cs="Lustria"/>
            <w:sz w:val="26"/>
            <w:szCs w:val="26"/>
          </w:rPr>
          <w:t>https://hea.ie/statistics/graduate-outcomes-data-and-reports/graduate-outcomes-survey-2023/</w:t>
        </w:r>
      </w:hyperlink>
      <w:r>
        <w:rPr>
          <w:rFonts w:ascii="Californian FB" w:eastAsia="Lustria" w:hAnsi="Californian FB" w:cs="Lustria"/>
          <w:sz w:val="26"/>
          <w:szCs w:val="26"/>
        </w:rPr>
        <w:t xml:space="preserve"> [accessed 1</w:t>
      </w:r>
      <w:r w:rsidR="0086440D">
        <w:rPr>
          <w:rFonts w:ascii="Californian FB" w:eastAsia="Lustria" w:hAnsi="Californian FB" w:cs="Lustria"/>
          <w:sz w:val="26"/>
          <w:szCs w:val="26"/>
        </w:rPr>
        <w:t>0</w:t>
      </w:r>
      <w:r>
        <w:rPr>
          <w:rFonts w:ascii="Californian FB" w:eastAsia="Lustria" w:hAnsi="Californian FB" w:cs="Lustria"/>
          <w:sz w:val="26"/>
          <w:szCs w:val="26"/>
        </w:rPr>
        <w:t xml:space="preserve"> July 2025].</w:t>
      </w:r>
    </w:p>
    <w:p w14:paraId="6F53093E" w14:textId="373E9907" w:rsidR="009521E4" w:rsidRDefault="009521E4" w:rsidP="009521E4">
      <w:pPr>
        <w:rPr>
          <w:rFonts w:ascii="Californian FB" w:eastAsia="Lustria" w:hAnsi="Californian FB" w:cs="Lustria"/>
          <w:sz w:val="26"/>
          <w:szCs w:val="26"/>
        </w:rPr>
      </w:pPr>
      <w:r>
        <w:rPr>
          <w:rFonts w:ascii="Californian FB" w:eastAsia="Lustria" w:hAnsi="Californian FB" w:cs="Lustria"/>
          <w:sz w:val="26"/>
          <w:szCs w:val="26"/>
        </w:rPr>
        <w:t>Higher Education Authority (2023)</w:t>
      </w:r>
      <w:r w:rsidR="0086440D">
        <w:rPr>
          <w:rFonts w:ascii="Californian FB" w:eastAsia="Lustria" w:hAnsi="Californian FB" w:cs="Lustria"/>
          <w:sz w:val="26"/>
          <w:szCs w:val="26"/>
        </w:rPr>
        <w:t>,</w:t>
      </w:r>
      <w:r>
        <w:rPr>
          <w:rFonts w:ascii="Californian FB" w:eastAsia="Lustria" w:hAnsi="Californian FB" w:cs="Lustria"/>
          <w:sz w:val="26"/>
          <w:szCs w:val="26"/>
        </w:rPr>
        <w:t xml:space="preserve"> System Performance Framework 2023-2028 [online]. Available at: </w:t>
      </w:r>
      <w:hyperlink r:id="rId9" w:history="1">
        <w:r w:rsidRPr="00BB0697">
          <w:rPr>
            <w:rStyle w:val="Hyperlink"/>
            <w:rFonts w:ascii="Californian FB" w:eastAsia="Lustria" w:hAnsi="Californian FB" w:cs="Lustria"/>
            <w:sz w:val="26"/>
            <w:szCs w:val="26"/>
          </w:rPr>
          <w:t>https://hea.ie/funding-governance-performance/managing-performance/system-performance-framework/</w:t>
        </w:r>
      </w:hyperlink>
      <w:r>
        <w:rPr>
          <w:rFonts w:ascii="Californian FB" w:eastAsia="Lustria" w:hAnsi="Californian FB" w:cs="Lustria"/>
          <w:sz w:val="26"/>
          <w:szCs w:val="26"/>
        </w:rPr>
        <w:t xml:space="preserve"> [accessed 10 July 2025].  </w:t>
      </w:r>
    </w:p>
    <w:p w14:paraId="43436447" w14:textId="77777777" w:rsidR="0090345F" w:rsidRDefault="0090345F" w:rsidP="0090345F">
      <w:pPr>
        <w:rPr>
          <w:rFonts w:ascii="Californian FB" w:eastAsia="Lustria" w:hAnsi="Californian FB" w:cs="Lustria"/>
          <w:sz w:val="26"/>
          <w:szCs w:val="26"/>
        </w:rPr>
      </w:pPr>
      <w:r>
        <w:rPr>
          <w:rFonts w:ascii="Californian FB" w:eastAsia="Lustria" w:hAnsi="Californian FB" w:cs="Lustria"/>
          <w:sz w:val="26"/>
          <w:szCs w:val="26"/>
        </w:rPr>
        <w:t xml:space="preserve">Irish Times (2022) How universities prepare graduates for the workplace [online]. Available at: </w:t>
      </w:r>
      <w:hyperlink r:id="rId10" w:history="1">
        <w:r w:rsidRPr="00BB0697">
          <w:rPr>
            <w:rStyle w:val="Hyperlink"/>
            <w:rFonts w:ascii="Californian FB" w:eastAsia="Lustria" w:hAnsi="Californian FB" w:cs="Lustria"/>
            <w:sz w:val="26"/>
            <w:szCs w:val="26"/>
          </w:rPr>
          <w:t>https://www.irishtimes.com/ireland/education/2022/06/21/how-universities-prepare-graduates-for-the-workplace/</w:t>
        </w:r>
      </w:hyperlink>
      <w:r>
        <w:rPr>
          <w:rFonts w:ascii="Californian FB" w:eastAsia="Lustria" w:hAnsi="Californian FB" w:cs="Lustria"/>
          <w:sz w:val="26"/>
          <w:szCs w:val="26"/>
        </w:rPr>
        <w:t xml:space="preserve"> [accessed 13 July 2025].</w:t>
      </w:r>
    </w:p>
    <w:p w14:paraId="3363049B" w14:textId="09B07017" w:rsidR="0090345F" w:rsidRDefault="0090345F" w:rsidP="009521E4">
      <w:pPr>
        <w:rPr>
          <w:rFonts w:ascii="Californian FB" w:eastAsia="Lustria" w:hAnsi="Californian FB" w:cs="Lustria"/>
          <w:sz w:val="26"/>
          <w:szCs w:val="26"/>
        </w:rPr>
      </w:pPr>
      <w:r w:rsidRPr="0090345F">
        <w:rPr>
          <w:rFonts w:ascii="Californian FB" w:eastAsia="Lustria" w:hAnsi="Californian FB" w:cs="Lustria"/>
          <w:sz w:val="26"/>
          <w:szCs w:val="26"/>
        </w:rPr>
        <w:t xml:space="preserve">O'Regan, M., </w:t>
      </w:r>
      <w:bookmarkStart w:id="1" w:name="_Hlk203610563"/>
      <w:r w:rsidRPr="0090345F">
        <w:rPr>
          <w:rFonts w:ascii="Californian FB" w:eastAsia="Lustria" w:hAnsi="Californian FB" w:cs="Lustria"/>
          <w:sz w:val="26"/>
          <w:szCs w:val="26"/>
        </w:rPr>
        <w:t xml:space="preserve">Carthy, A., McGuinness, C. and </w:t>
      </w:r>
      <w:proofErr w:type="spellStart"/>
      <w:r w:rsidRPr="0090345F">
        <w:rPr>
          <w:rFonts w:ascii="Californian FB" w:eastAsia="Lustria" w:hAnsi="Californian FB" w:cs="Lustria"/>
          <w:sz w:val="26"/>
          <w:szCs w:val="26"/>
        </w:rPr>
        <w:t>Owende</w:t>
      </w:r>
      <w:bookmarkEnd w:id="1"/>
      <w:proofErr w:type="spellEnd"/>
      <w:r w:rsidRPr="0090345F">
        <w:rPr>
          <w:rFonts w:ascii="Californian FB" w:eastAsia="Lustria" w:hAnsi="Californian FB" w:cs="Lustria"/>
          <w:sz w:val="26"/>
          <w:szCs w:val="26"/>
        </w:rPr>
        <w:t>, P. (2023), "Employer collaboration in developing graduate employability: a pilot study in Ireland", Education + Training, Vol. 65 No. 10, pp. 1-13</w:t>
      </w:r>
      <w:r>
        <w:rPr>
          <w:rFonts w:ascii="Californian FB" w:eastAsia="Lustria" w:hAnsi="Californian FB" w:cs="Lustria"/>
          <w:sz w:val="26"/>
          <w:szCs w:val="26"/>
        </w:rPr>
        <w:t xml:space="preserve"> [online]</w:t>
      </w:r>
      <w:r w:rsidRPr="0090345F">
        <w:rPr>
          <w:rFonts w:ascii="Californian FB" w:eastAsia="Lustria" w:hAnsi="Californian FB" w:cs="Lustria"/>
          <w:sz w:val="26"/>
          <w:szCs w:val="26"/>
        </w:rPr>
        <w:t>.</w:t>
      </w:r>
      <w:r>
        <w:rPr>
          <w:rFonts w:ascii="Californian FB" w:eastAsia="Lustria" w:hAnsi="Californian FB" w:cs="Lustria"/>
          <w:sz w:val="26"/>
          <w:szCs w:val="26"/>
        </w:rPr>
        <w:t xml:space="preserve"> Available at:</w:t>
      </w:r>
      <w:r w:rsidRPr="0090345F">
        <w:rPr>
          <w:rFonts w:ascii="Californian FB" w:eastAsia="Lustria" w:hAnsi="Californian FB" w:cs="Lustria"/>
          <w:sz w:val="26"/>
          <w:szCs w:val="26"/>
        </w:rPr>
        <w:t xml:space="preserve"> </w:t>
      </w:r>
      <w:hyperlink r:id="rId11" w:history="1">
        <w:r w:rsidRPr="00BB0697">
          <w:rPr>
            <w:rStyle w:val="Hyperlink"/>
            <w:rFonts w:ascii="Californian FB" w:eastAsia="Lustria" w:hAnsi="Californian FB" w:cs="Lustria"/>
            <w:sz w:val="26"/>
            <w:szCs w:val="26"/>
          </w:rPr>
          <w:t>https://doi.org/10.1108/ET-03-2022-0081</w:t>
        </w:r>
      </w:hyperlink>
      <w:r>
        <w:rPr>
          <w:rFonts w:ascii="Californian FB" w:eastAsia="Lustria" w:hAnsi="Californian FB" w:cs="Lustria"/>
          <w:sz w:val="26"/>
          <w:szCs w:val="26"/>
        </w:rPr>
        <w:t xml:space="preserve"> [accessed 13 July 2025]</w:t>
      </w:r>
    </w:p>
    <w:p w14:paraId="172F8B90" w14:textId="372AA861" w:rsidR="0090345F" w:rsidRDefault="004E1E17" w:rsidP="009521E4">
      <w:pPr>
        <w:rPr>
          <w:rFonts w:ascii="Californian FB" w:eastAsia="Lustria" w:hAnsi="Californian FB" w:cs="Lustria"/>
          <w:sz w:val="26"/>
          <w:szCs w:val="26"/>
        </w:rPr>
      </w:pPr>
      <w:r>
        <w:rPr>
          <w:rFonts w:ascii="Californian FB" w:eastAsia="Lustria" w:hAnsi="Californian FB" w:cs="Lustria"/>
          <w:sz w:val="26"/>
          <w:szCs w:val="26"/>
        </w:rPr>
        <w:t>Technological University of Shannon (TUS) 2025</w:t>
      </w:r>
      <w:r w:rsidR="0086440D">
        <w:rPr>
          <w:rFonts w:ascii="Californian FB" w:eastAsia="Lustria" w:hAnsi="Californian FB" w:cs="Lustria"/>
          <w:sz w:val="26"/>
          <w:szCs w:val="26"/>
        </w:rPr>
        <w:t>,</w:t>
      </w:r>
      <w:r>
        <w:rPr>
          <w:rFonts w:ascii="Californian FB" w:eastAsia="Lustria" w:hAnsi="Californian FB" w:cs="Lustria"/>
          <w:sz w:val="26"/>
          <w:szCs w:val="26"/>
        </w:rPr>
        <w:t xml:space="preserve"> </w:t>
      </w:r>
      <w:r w:rsidRPr="004E1E17">
        <w:rPr>
          <w:rFonts w:ascii="Californian FB" w:eastAsia="Lustria" w:hAnsi="Californian FB" w:cs="Lustria"/>
          <w:sz w:val="26"/>
          <w:szCs w:val="26"/>
        </w:rPr>
        <w:t>TUS Maintains Top Graduate Employment Rate in Ireland for second year running</w:t>
      </w:r>
      <w:r>
        <w:rPr>
          <w:rFonts w:ascii="Californian FB" w:eastAsia="Lustria" w:hAnsi="Californian FB" w:cs="Lustria"/>
          <w:sz w:val="26"/>
          <w:szCs w:val="26"/>
        </w:rPr>
        <w:t xml:space="preserve"> [online]. Available at: </w:t>
      </w:r>
      <w:hyperlink r:id="rId12" w:history="1">
        <w:r w:rsidRPr="00BB0697">
          <w:rPr>
            <w:rStyle w:val="Hyperlink"/>
            <w:rFonts w:ascii="Californian FB" w:eastAsia="Lustria" w:hAnsi="Californian FB" w:cs="Lustria"/>
            <w:sz w:val="26"/>
            <w:szCs w:val="26"/>
          </w:rPr>
          <w:t>https://tus.ie/news/tus-maintains-top-graduate-employment-rate-in-ireland-for-second-year-running/</w:t>
        </w:r>
      </w:hyperlink>
      <w:r>
        <w:rPr>
          <w:rFonts w:ascii="Californian FB" w:eastAsia="Lustria" w:hAnsi="Californian FB" w:cs="Lustria"/>
          <w:sz w:val="26"/>
          <w:szCs w:val="26"/>
        </w:rPr>
        <w:t xml:space="preserve"> [accessed 11 July 2025]. </w:t>
      </w:r>
    </w:p>
    <w:p w14:paraId="016405B4" w14:textId="78AA451F" w:rsidR="00D51DE7" w:rsidRDefault="00D51DE7" w:rsidP="009521E4">
      <w:pPr>
        <w:rPr>
          <w:rStyle w:val="Hyperlink"/>
          <w:rFonts w:ascii="Californian FB" w:eastAsia="Lustria" w:hAnsi="Californian FB" w:cs="Lustria"/>
          <w:sz w:val="26"/>
          <w:szCs w:val="26"/>
        </w:rPr>
      </w:pPr>
      <w:r>
        <w:rPr>
          <w:rFonts w:ascii="Californian FB" w:eastAsia="Lustria" w:hAnsi="Californian FB" w:cs="Lustria"/>
          <w:sz w:val="26"/>
          <w:szCs w:val="26"/>
        </w:rPr>
        <w:t>University College Cork (UCC) 2025</w:t>
      </w:r>
      <w:r w:rsidR="0086440D">
        <w:rPr>
          <w:rFonts w:ascii="Californian FB" w:eastAsia="Lustria" w:hAnsi="Californian FB" w:cs="Lustria"/>
          <w:sz w:val="26"/>
          <w:szCs w:val="26"/>
        </w:rPr>
        <w:t xml:space="preserve">, </w:t>
      </w:r>
      <w:r>
        <w:rPr>
          <w:rFonts w:ascii="Californian FB" w:eastAsia="Lustria" w:hAnsi="Californian FB" w:cs="Lustria"/>
          <w:sz w:val="26"/>
          <w:szCs w:val="26"/>
        </w:rPr>
        <w:t xml:space="preserve">Employability Framework 2025-2028 [online]. Available at: </w:t>
      </w:r>
      <w:hyperlink r:id="rId13" w:history="1">
        <w:r w:rsidRPr="00BB0697">
          <w:rPr>
            <w:rStyle w:val="Hyperlink"/>
            <w:rFonts w:ascii="Californian FB" w:eastAsia="Lustria" w:hAnsi="Californian FB" w:cs="Lustria"/>
            <w:sz w:val="26"/>
            <w:szCs w:val="26"/>
          </w:rPr>
          <w:t>https://www.ucc.ie/en/media/support/careers/EmployabilityFramework2025-2028final.pdf</w:t>
        </w:r>
      </w:hyperlink>
      <w:r>
        <w:rPr>
          <w:rFonts w:ascii="Californian FB" w:eastAsia="Lustria" w:hAnsi="Californian FB" w:cs="Lustria"/>
          <w:sz w:val="26"/>
          <w:szCs w:val="26"/>
        </w:rPr>
        <w:t xml:space="preserve"> [accessed 11 July 2025].</w:t>
      </w:r>
    </w:p>
    <w:p w14:paraId="16F8FD1F" w14:textId="77777777" w:rsidR="0086440D" w:rsidRPr="0086440D" w:rsidRDefault="0086440D" w:rsidP="0086440D">
      <w:pPr>
        <w:rPr>
          <w:rFonts w:ascii="Californian FB" w:eastAsia="Lustria" w:hAnsi="Californian FB" w:cs="Lustria"/>
          <w:sz w:val="26"/>
          <w:szCs w:val="26"/>
        </w:rPr>
      </w:pPr>
    </w:p>
    <w:p w14:paraId="24A24C41" w14:textId="77777777" w:rsidR="0086440D" w:rsidRDefault="0086440D" w:rsidP="0086440D">
      <w:pPr>
        <w:rPr>
          <w:rStyle w:val="Hyperlink"/>
          <w:rFonts w:ascii="Californian FB" w:eastAsia="Lustria" w:hAnsi="Californian FB" w:cs="Lustria"/>
          <w:sz w:val="26"/>
          <w:szCs w:val="26"/>
        </w:rPr>
      </w:pPr>
    </w:p>
    <w:p w14:paraId="13473D58" w14:textId="77777777" w:rsidR="0086440D" w:rsidRPr="0086440D" w:rsidRDefault="0086440D" w:rsidP="0086440D">
      <w:pPr>
        <w:rPr>
          <w:rFonts w:ascii="Californian FB" w:eastAsia="Lustria" w:hAnsi="Californian FB" w:cs="Lustria"/>
          <w:sz w:val="26"/>
          <w:szCs w:val="26"/>
        </w:rPr>
      </w:pPr>
    </w:p>
    <w:sectPr w:rsidR="0086440D" w:rsidRPr="0086440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60223" w14:textId="77777777" w:rsidR="0081365B" w:rsidRDefault="0081365B">
      <w:pPr>
        <w:spacing w:before="0" w:after="0"/>
      </w:pPr>
      <w:r>
        <w:separator/>
      </w:r>
    </w:p>
  </w:endnote>
  <w:endnote w:type="continuationSeparator" w:id="0">
    <w:p w14:paraId="46D694EB" w14:textId="77777777" w:rsidR="0081365B" w:rsidRDefault="008136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fornian FB">
    <w:panose1 w:val="0207040306080B030204"/>
    <w:charset w:val="00"/>
    <w:family w:val="roman"/>
    <w:pitch w:val="variable"/>
    <w:sig w:usb0="00000003" w:usb1="00000000" w:usb2="00000000" w:usb3="00000000" w:csb0="00000001" w:csb1="00000000"/>
  </w:font>
  <w:font w:name="Lustria">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1342"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804759"/>
      <w:docPartObj>
        <w:docPartGallery w:val="Page Numbers (Bottom of Page)"/>
        <w:docPartUnique/>
      </w:docPartObj>
    </w:sdtPr>
    <w:sdtContent>
      <w:sdt>
        <w:sdtPr>
          <w:id w:val="-1769616900"/>
          <w:docPartObj>
            <w:docPartGallery w:val="Page Numbers (Top of Page)"/>
            <w:docPartUnique/>
          </w:docPartObj>
        </w:sdtPr>
        <w:sdtContent>
          <w:p w14:paraId="4B0E9FA9" w14:textId="28D08356" w:rsidR="00930A9E" w:rsidRDefault="00930A9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D5331B0"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6B68"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4FE62" w14:textId="77777777" w:rsidR="0081365B" w:rsidRDefault="0081365B">
      <w:pPr>
        <w:spacing w:before="0" w:after="0"/>
      </w:pPr>
      <w:r>
        <w:separator/>
      </w:r>
    </w:p>
  </w:footnote>
  <w:footnote w:type="continuationSeparator" w:id="0">
    <w:p w14:paraId="3FEAA5E7" w14:textId="77777777" w:rsidR="0081365B" w:rsidRDefault="008136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8E27" w14:textId="1693A851" w:rsidR="00907F75" w:rsidRDefault="00000000">
    <w:pPr>
      <w:pBdr>
        <w:top w:val="nil"/>
        <w:left w:val="nil"/>
        <w:bottom w:val="nil"/>
        <w:right w:val="nil"/>
        <w:between w:val="nil"/>
      </w:pBdr>
      <w:tabs>
        <w:tab w:val="center" w:pos="4536"/>
        <w:tab w:val="right" w:pos="9072"/>
      </w:tabs>
      <w:spacing w:before="0" w:after="0"/>
      <w:rPr>
        <w:color w:val="000000"/>
      </w:rPr>
    </w:pPr>
    <w:r>
      <w:rPr>
        <w:noProof/>
        <w:color w:val="000000"/>
      </w:rPr>
      <w:pict w14:anchorId="39ACF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9" o:spid="_x0000_s1027" type="#_x0000_t75" alt="" style="position:absolute;left:0;text-align:left;margin-left:0;margin-top:0;width:453.15pt;height:138.7pt;z-index:-251653120;mso-wrap-edited:f;mso-width-percent:0;mso-height-percent:0;mso-position-horizontal:center;mso-position-horizontal-relative:margin;mso-position-vertical:center;mso-position-vertical-relative:margin;mso-width-percent:0;mso-height-percent:0" o:allowincell="f">
          <v:imagedata r:id="rId1" o:title="Upscale Logo-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237DB" w14:textId="3BEF678D" w:rsidR="00907F75" w:rsidRDefault="00000000">
    <w:pPr>
      <w:pBdr>
        <w:top w:val="nil"/>
        <w:left w:val="nil"/>
        <w:bottom w:val="nil"/>
        <w:right w:val="nil"/>
        <w:between w:val="nil"/>
      </w:pBdr>
      <w:tabs>
        <w:tab w:val="center" w:pos="4536"/>
        <w:tab w:val="right" w:pos="9072"/>
      </w:tabs>
      <w:spacing w:before="0" w:after="0"/>
      <w:rPr>
        <w:color w:val="000000"/>
      </w:rPr>
    </w:pPr>
    <w:r>
      <w:rPr>
        <w:noProof/>
      </w:rPr>
      <w:pict w14:anchorId="6A645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20" o:spid="_x0000_s1026" type="#_x0000_t75" alt="" style="position:absolute;left:0;text-align:left;margin-left:0;margin-top:0;width:453.15pt;height:138.7pt;z-index:-251652096;mso-wrap-edited:f;mso-width-percent:0;mso-height-percent:0;mso-position-horizontal:center;mso-position-horizontal-relative:margin;mso-position-vertical:center;mso-position-vertical-relative:margin;mso-width-percent:0;mso-height-percent:0" o:allowincell="f">
          <v:imagedata r:id="rId1" o:title="Upscale Logo-01" gain="19661f" blacklevel="22938f"/>
          <w10:wrap anchorx="margin" anchory="margin"/>
        </v:shape>
      </w:pict>
    </w:r>
    <w:r w:rsidR="00B62DAA">
      <w:rPr>
        <w:noProof/>
      </w:rPr>
      <w:drawing>
        <wp:anchor distT="0" distB="0" distL="114300" distR="114300" simplePos="0" relativeHeight="251661312" behindDoc="0" locked="0" layoutInCell="1" allowOverlap="1" wp14:anchorId="04B7D7FB" wp14:editId="6CF1109B">
          <wp:simplePos x="0" y="0"/>
          <wp:positionH relativeFrom="margin">
            <wp:align>right</wp:align>
          </wp:positionH>
          <wp:positionV relativeFrom="paragraph">
            <wp:posOffset>-10160</wp:posOffset>
          </wp:positionV>
          <wp:extent cx="2057400"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cale logo.png"/>
                  <pic:cNvPicPr/>
                </pic:nvPicPr>
                <pic:blipFill>
                  <a:blip r:embed="rId2">
                    <a:extLst>
                      <a:ext uri="{28A0092B-C50C-407E-A947-70E740481C1C}">
                        <a14:useLocalDpi xmlns:a14="http://schemas.microsoft.com/office/drawing/2010/main" val="0"/>
                      </a:ext>
                    </a:extLst>
                  </a:blip>
                  <a:stretch>
                    <a:fillRect/>
                  </a:stretch>
                </pic:blipFill>
                <pic:spPr>
                  <a:xfrm>
                    <a:off x="0" y="0"/>
                    <a:ext cx="2057400" cy="619125"/>
                  </a:xfrm>
                  <a:prstGeom prst="rect">
                    <a:avLst/>
                  </a:prstGeom>
                </pic:spPr>
              </pic:pic>
            </a:graphicData>
          </a:graphic>
        </wp:anchor>
      </w:drawing>
    </w:r>
    <w:r w:rsidR="00380D5F">
      <w:rPr>
        <w:noProof/>
        <w:color w:val="000000"/>
      </w:rPr>
      <w:drawing>
        <wp:inline distT="0" distB="0" distL="0" distR="0" wp14:anchorId="3E42A264" wp14:editId="0B2C6218">
          <wp:extent cx="2352675" cy="5248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fundedbytheEU_RGB_POS.png"/>
                  <pic:cNvPicPr/>
                </pic:nvPicPr>
                <pic:blipFill>
                  <a:blip r:embed="rId3">
                    <a:extLst>
                      <a:ext uri="{28A0092B-C50C-407E-A947-70E740481C1C}">
                        <a14:useLocalDpi xmlns:a14="http://schemas.microsoft.com/office/drawing/2010/main" val="0"/>
                      </a:ext>
                    </a:extLst>
                  </a:blip>
                  <a:stretch>
                    <a:fillRect/>
                  </a:stretch>
                </pic:blipFill>
                <pic:spPr>
                  <a:xfrm>
                    <a:off x="0" y="0"/>
                    <a:ext cx="2373088" cy="529445"/>
                  </a:xfrm>
                  <a:prstGeom prst="rect">
                    <a:avLst/>
                  </a:prstGeom>
                </pic:spPr>
              </pic:pic>
            </a:graphicData>
          </a:graphic>
        </wp:inline>
      </w:drawing>
    </w:r>
    <w:r w:rsidR="00E55C0C">
      <w:rPr>
        <w:color w:val="000000"/>
      </w:rPr>
      <w:t xml:space="preserve">                       </w:t>
    </w:r>
    <w:r w:rsidR="00E55C0C">
      <w:rPr>
        <w:color w:val="000000"/>
      </w:rPr>
      <w:tab/>
    </w:r>
  </w:p>
  <w:p w14:paraId="3475B935" w14:textId="77777777" w:rsidR="00907F75" w:rsidRDefault="00907F75">
    <w:pPr>
      <w:pBdr>
        <w:top w:val="nil"/>
        <w:left w:val="nil"/>
        <w:bottom w:val="nil"/>
        <w:right w:val="nil"/>
        <w:between w:val="nil"/>
      </w:pBdr>
      <w:tabs>
        <w:tab w:val="center" w:pos="4536"/>
        <w:tab w:val="right" w:pos="9072"/>
      </w:tabs>
      <w:spacing w:before="0" w:after="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859C9" w14:textId="4FB696F2" w:rsidR="00907F75" w:rsidRDefault="00000000">
    <w:pPr>
      <w:pBdr>
        <w:top w:val="nil"/>
        <w:left w:val="nil"/>
        <w:bottom w:val="nil"/>
        <w:right w:val="nil"/>
        <w:between w:val="nil"/>
      </w:pBdr>
      <w:tabs>
        <w:tab w:val="center" w:pos="4536"/>
        <w:tab w:val="right" w:pos="9072"/>
      </w:tabs>
      <w:spacing w:before="0" w:after="0"/>
      <w:rPr>
        <w:color w:val="000000"/>
      </w:rPr>
    </w:pPr>
    <w:r>
      <w:rPr>
        <w:noProof/>
        <w:color w:val="000000"/>
      </w:rPr>
      <w:pict w14:anchorId="2AC9B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8" o:spid="_x0000_s1025" type="#_x0000_t75" alt="" style="position:absolute;left:0;text-align:left;margin-left:0;margin-top:0;width:453.15pt;height:138.7pt;z-index:-251654144;mso-wrap-edited:f;mso-width-percent:0;mso-height-percent:0;mso-position-horizontal:center;mso-position-horizontal-relative:margin;mso-position-vertical:center;mso-position-vertical-relative:margin;mso-width-percent:0;mso-height-percent:0" o:allowincell="f">
          <v:imagedata r:id="rId1" o:title="Upscale Logo-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3A96"/>
    <w:multiLevelType w:val="hybridMultilevel"/>
    <w:tmpl w:val="B7E68662"/>
    <w:lvl w:ilvl="0" w:tplc="76007CAE">
      <w:start w:val="1"/>
      <w:numFmt w:val="bullet"/>
      <w:lvlText w:val="-"/>
      <w:lvlJc w:val="left"/>
      <w:pPr>
        <w:ind w:left="720" w:hanging="360"/>
      </w:pPr>
      <w:rPr>
        <w:rFonts w:ascii="Californian FB" w:eastAsia="Lustria" w:hAnsi="Californian FB"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2679D"/>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71B29"/>
    <w:multiLevelType w:val="hybridMultilevel"/>
    <w:tmpl w:val="947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462C4"/>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5B6E63"/>
    <w:multiLevelType w:val="hybridMultilevel"/>
    <w:tmpl w:val="6636BA7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95E3394"/>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D52547"/>
    <w:multiLevelType w:val="multilevel"/>
    <w:tmpl w:val="8C5E7E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2DD61B7F"/>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A6AE9"/>
    <w:multiLevelType w:val="hybridMultilevel"/>
    <w:tmpl w:val="93105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8AB312D"/>
    <w:multiLevelType w:val="hybridMultilevel"/>
    <w:tmpl w:val="7438112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3BFF755B"/>
    <w:multiLevelType w:val="hybridMultilevel"/>
    <w:tmpl w:val="CA187EC2"/>
    <w:lvl w:ilvl="0" w:tplc="B0F8C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334ED"/>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A35736"/>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7F53CF"/>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9406DD"/>
    <w:multiLevelType w:val="hybridMultilevel"/>
    <w:tmpl w:val="0D12E7A2"/>
    <w:lvl w:ilvl="0" w:tplc="545A8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F14618"/>
    <w:multiLevelType w:val="hybridMultilevel"/>
    <w:tmpl w:val="947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44A0B"/>
    <w:multiLevelType w:val="hybridMultilevel"/>
    <w:tmpl w:val="8CC27B38"/>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3B92F2C"/>
    <w:multiLevelType w:val="hybridMultilevel"/>
    <w:tmpl w:val="AF0E3798"/>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18" w15:restartNumberingAfterBreak="0">
    <w:nsid w:val="54AA4679"/>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30028D"/>
    <w:multiLevelType w:val="hybridMultilevel"/>
    <w:tmpl w:val="8B7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607BB"/>
    <w:multiLevelType w:val="hybridMultilevel"/>
    <w:tmpl w:val="FC723B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230925"/>
    <w:multiLevelType w:val="multilevel"/>
    <w:tmpl w:val="05B446EE"/>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AA0E69"/>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905BFF"/>
    <w:multiLevelType w:val="hybridMultilevel"/>
    <w:tmpl w:val="27680DE8"/>
    <w:lvl w:ilvl="0" w:tplc="20000001">
      <w:start w:val="1"/>
      <w:numFmt w:val="bullet"/>
      <w:lvlText w:val=""/>
      <w:lvlJc w:val="left"/>
      <w:pPr>
        <w:ind w:left="1356" w:hanging="360"/>
      </w:pPr>
      <w:rPr>
        <w:rFonts w:ascii="Symbol" w:hAnsi="Symbol" w:hint="default"/>
      </w:rPr>
    </w:lvl>
    <w:lvl w:ilvl="1" w:tplc="20000003" w:tentative="1">
      <w:start w:val="1"/>
      <w:numFmt w:val="bullet"/>
      <w:lvlText w:val="o"/>
      <w:lvlJc w:val="left"/>
      <w:pPr>
        <w:ind w:left="2076" w:hanging="360"/>
      </w:pPr>
      <w:rPr>
        <w:rFonts w:ascii="Courier New" w:hAnsi="Courier New" w:cs="Courier New" w:hint="default"/>
      </w:rPr>
    </w:lvl>
    <w:lvl w:ilvl="2" w:tplc="20000005" w:tentative="1">
      <w:start w:val="1"/>
      <w:numFmt w:val="bullet"/>
      <w:lvlText w:val=""/>
      <w:lvlJc w:val="left"/>
      <w:pPr>
        <w:ind w:left="2796" w:hanging="360"/>
      </w:pPr>
      <w:rPr>
        <w:rFonts w:ascii="Wingdings" w:hAnsi="Wingdings" w:hint="default"/>
      </w:rPr>
    </w:lvl>
    <w:lvl w:ilvl="3" w:tplc="20000001" w:tentative="1">
      <w:start w:val="1"/>
      <w:numFmt w:val="bullet"/>
      <w:lvlText w:val=""/>
      <w:lvlJc w:val="left"/>
      <w:pPr>
        <w:ind w:left="3516" w:hanging="360"/>
      </w:pPr>
      <w:rPr>
        <w:rFonts w:ascii="Symbol" w:hAnsi="Symbol" w:hint="default"/>
      </w:rPr>
    </w:lvl>
    <w:lvl w:ilvl="4" w:tplc="20000003" w:tentative="1">
      <w:start w:val="1"/>
      <w:numFmt w:val="bullet"/>
      <w:lvlText w:val="o"/>
      <w:lvlJc w:val="left"/>
      <w:pPr>
        <w:ind w:left="4236" w:hanging="360"/>
      </w:pPr>
      <w:rPr>
        <w:rFonts w:ascii="Courier New" w:hAnsi="Courier New" w:cs="Courier New" w:hint="default"/>
      </w:rPr>
    </w:lvl>
    <w:lvl w:ilvl="5" w:tplc="20000005" w:tentative="1">
      <w:start w:val="1"/>
      <w:numFmt w:val="bullet"/>
      <w:lvlText w:val=""/>
      <w:lvlJc w:val="left"/>
      <w:pPr>
        <w:ind w:left="4956" w:hanging="360"/>
      </w:pPr>
      <w:rPr>
        <w:rFonts w:ascii="Wingdings" w:hAnsi="Wingdings" w:hint="default"/>
      </w:rPr>
    </w:lvl>
    <w:lvl w:ilvl="6" w:tplc="20000001" w:tentative="1">
      <w:start w:val="1"/>
      <w:numFmt w:val="bullet"/>
      <w:lvlText w:val=""/>
      <w:lvlJc w:val="left"/>
      <w:pPr>
        <w:ind w:left="5676" w:hanging="360"/>
      </w:pPr>
      <w:rPr>
        <w:rFonts w:ascii="Symbol" w:hAnsi="Symbol" w:hint="default"/>
      </w:rPr>
    </w:lvl>
    <w:lvl w:ilvl="7" w:tplc="20000003" w:tentative="1">
      <w:start w:val="1"/>
      <w:numFmt w:val="bullet"/>
      <w:lvlText w:val="o"/>
      <w:lvlJc w:val="left"/>
      <w:pPr>
        <w:ind w:left="6396" w:hanging="360"/>
      </w:pPr>
      <w:rPr>
        <w:rFonts w:ascii="Courier New" w:hAnsi="Courier New" w:cs="Courier New" w:hint="default"/>
      </w:rPr>
    </w:lvl>
    <w:lvl w:ilvl="8" w:tplc="20000005" w:tentative="1">
      <w:start w:val="1"/>
      <w:numFmt w:val="bullet"/>
      <w:lvlText w:val=""/>
      <w:lvlJc w:val="left"/>
      <w:pPr>
        <w:ind w:left="7116" w:hanging="360"/>
      </w:pPr>
      <w:rPr>
        <w:rFonts w:ascii="Wingdings" w:hAnsi="Wingdings" w:hint="default"/>
      </w:rPr>
    </w:lvl>
  </w:abstractNum>
  <w:abstractNum w:abstractNumId="24" w15:restartNumberingAfterBreak="0">
    <w:nsid w:val="6FA30CB3"/>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A16647"/>
    <w:multiLevelType w:val="hybridMultilevel"/>
    <w:tmpl w:val="2C88E424"/>
    <w:lvl w:ilvl="0" w:tplc="1E700D54">
      <w:start w:val="1"/>
      <w:numFmt w:val="bullet"/>
      <w:lvlText w:val="-"/>
      <w:lvlJc w:val="left"/>
      <w:pPr>
        <w:ind w:left="720" w:hanging="360"/>
      </w:pPr>
      <w:rPr>
        <w:rFonts w:ascii="Californian FB" w:eastAsia="Lustria" w:hAnsi="Californian FB"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36620">
    <w:abstractNumId w:val="3"/>
  </w:num>
  <w:num w:numId="2" w16cid:durableId="1697268904">
    <w:abstractNumId w:val="21"/>
  </w:num>
  <w:num w:numId="3" w16cid:durableId="1503004892">
    <w:abstractNumId w:val="5"/>
  </w:num>
  <w:num w:numId="4" w16cid:durableId="1749497938">
    <w:abstractNumId w:val="13"/>
  </w:num>
  <w:num w:numId="5" w16cid:durableId="131145608">
    <w:abstractNumId w:val="24"/>
  </w:num>
  <w:num w:numId="6" w16cid:durableId="742340708">
    <w:abstractNumId w:val="11"/>
  </w:num>
  <w:num w:numId="7" w16cid:durableId="1380130389">
    <w:abstractNumId w:val="7"/>
  </w:num>
  <w:num w:numId="8" w16cid:durableId="1565870254">
    <w:abstractNumId w:val="1"/>
  </w:num>
  <w:num w:numId="9" w16cid:durableId="1115294739">
    <w:abstractNumId w:val="6"/>
  </w:num>
  <w:num w:numId="10" w16cid:durableId="423960588">
    <w:abstractNumId w:val="12"/>
  </w:num>
  <w:num w:numId="11" w16cid:durableId="697511713">
    <w:abstractNumId w:val="18"/>
  </w:num>
  <w:num w:numId="12" w16cid:durableId="457795624">
    <w:abstractNumId w:val="22"/>
  </w:num>
  <w:num w:numId="13" w16cid:durableId="1574703562">
    <w:abstractNumId w:val="15"/>
  </w:num>
  <w:num w:numId="14" w16cid:durableId="1761101685">
    <w:abstractNumId w:val="2"/>
  </w:num>
  <w:num w:numId="15" w16cid:durableId="729965856">
    <w:abstractNumId w:val="16"/>
  </w:num>
  <w:num w:numId="16" w16cid:durableId="528565501">
    <w:abstractNumId w:val="17"/>
  </w:num>
  <w:num w:numId="17" w16cid:durableId="1539855334">
    <w:abstractNumId w:val="23"/>
  </w:num>
  <w:num w:numId="18" w16cid:durableId="1166672743">
    <w:abstractNumId w:val="14"/>
  </w:num>
  <w:num w:numId="19" w16cid:durableId="1489982598">
    <w:abstractNumId w:val="10"/>
  </w:num>
  <w:num w:numId="20" w16cid:durableId="646129887">
    <w:abstractNumId w:val="0"/>
  </w:num>
  <w:num w:numId="21" w16cid:durableId="1754207429">
    <w:abstractNumId w:val="25"/>
  </w:num>
  <w:num w:numId="22" w16cid:durableId="455031811">
    <w:abstractNumId w:val="20"/>
  </w:num>
  <w:num w:numId="23" w16cid:durableId="788206404">
    <w:abstractNumId w:val="19"/>
  </w:num>
  <w:num w:numId="24" w16cid:durableId="1563448506">
    <w:abstractNumId w:val="8"/>
  </w:num>
  <w:num w:numId="25" w16cid:durableId="1210990997">
    <w:abstractNumId w:val="9"/>
  </w:num>
  <w:num w:numId="26" w16cid:durableId="1203053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cSxhZmFgYWRmZmJko6SsGpxcWZ+XkgBYa1AO9IYkUsAAAA"/>
  </w:docVars>
  <w:rsids>
    <w:rsidRoot w:val="00907F75"/>
    <w:rsid w:val="000B1E70"/>
    <w:rsid w:val="000B444C"/>
    <w:rsid w:val="000C0537"/>
    <w:rsid w:val="000C213A"/>
    <w:rsid w:val="00117768"/>
    <w:rsid w:val="0013727A"/>
    <w:rsid w:val="0014384A"/>
    <w:rsid w:val="00145F00"/>
    <w:rsid w:val="00195E08"/>
    <w:rsid w:val="00197C37"/>
    <w:rsid w:val="001C2942"/>
    <w:rsid w:val="002157F5"/>
    <w:rsid w:val="00227E8F"/>
    <w:rsid w:val="002319DC"/>
    <w:rsid w:val="0023768F"/>
    <w:rsid w:val="00251DBF"/>
    <w:rsid w:val="00264AFA"/>
    <w:rsid w:val="00297BDB"/>
    <w:rsid w:val="002A4AA2"/>
    <w:rsid w:val="003238AD"/>
    <w:rsid w:val="00344B5C"/>
    <w:rsid w:val="00380D5F"/>
    <w:rsid w:val="003944E0"/>
    <w:rsid w:val="003B0C0C"/>
    <w:rsid w:val="003E7F45"/>
    <w:rsid w:val="00422810"/>
    <w:rsid w:val="00424677"/>
    <w:rsid w:val="00434919"/>
    <w:rsid w:val="00441019"/>
    <w:rsid w:val="00450E82"/>
    <w:rsid w:val="00465EB0"/>
    <w:rsid w:val="004E1E17"/>
    <w:rsid w:val="00570A6D"/>
    <w:rsid w:val="005B4AB9"/>
    <w:rsid w:val="00600FE9"/>
    <w:rsid w:val="00624B55"/>
    <w:rsid w:val="00633764"/>
    <w:rsid w:val="006460B9"/>
    <w:rsid w:val="0068591D"/>
    <w:rsid w:val="006B6151"/>
    <w:rsid w:val="006C6605"/>
    <w:rsid w:val="006D2B8B"/>
    <w:rsid w:val="006D351A"/>
    <w:rsid w:val="00760815"/>
    <w:rsid w:val="007E587B"/>
    <w:rsid w:val="0081365B"/>
    <w:rsid w:val="008214DF"/>
    <w:rsid w:val="00837E9B"/>
    <w:rsid w:val="00855636"/>
    <w:rsid w:val="0086440D"/>
    <w:rsid w:val="008B1F3D"/>
    <w:rsid w:val="008B65E6"/>
    <w:rsid w:val="008F5F30"/>
    <w:rsid w:val="0090345F"/>
    <w:rsid w:val="00907F75"/>
    <w:rsid w:val="0092189D"/>
    <w:rsid w:val="00930A9E"/>
    <w:rsid w:val="00933C83"/>
    <w:rsid w:val="009521E4"/>
    <w:rsid w:val="00955F2D"/>
    <w:rsid w:val="009D24B2"/>
    <w:rsid w:val="009D2CDA"/>
    <w:rsid w:val="00A1624B"/>
    <w:rsid w:val="00A62E82"/>
    <w:rsid w:val="00A71315"/>
    <w:rsid w:val="00A8541D"/>
    <w:rsid w:val="00AE6048"/>
    <w:rsid w:val="00B0438F"/>
    <w:rsid w:val="00B53E1E"/>
    <w:rsid w:val="00B62DAA"/>
    <w:rsid w:val="00B7453B"/>
    <w:rsid w:val="00BE2BE2"/>
    <w:rsid w:val="00C5103E"/>
    <w:rsid w:val="00C648C1"/>
    <w:rsid w:val="00C80515"/>
    <w:rsid w:val="00CB0407"/>
    <w:rsid w:val="00D51DE7"/>
    <w:rsid w:val="00D65C16"/>
    <w:rsid w:val="00D847B9"/>
    <w:rsid w:val="00D96AA4"/>
    <w:rsid w:val="00DB5C0D"/>
    <w:rsid w:val="00E03D78"/>
    <w:rsid w:val="00E27ABD"/>
    <w:rsid w:val="00E432BC"/>
    <w:rsid w:val="00E55C0C"/>
    <w:rsid w:val="00EA7D61"/>
    <w:rsid w:val="00EE56CA"/>
    <w:rsid w:val="00F12E98"/>
    <w:rsid w:val="00F27836"/>
    <w:rsid w:val="00F336FC"/>
    <w:rsid w:val="00F61DED"/>
    <w:rsid w:val="00F711E0"/>
    <w:rsid w:val="00F90147"/>
    <w:rsid w:val="00FE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6722C"/>
  <w15:docId w15:val="{FB4FCBFC-E86A-42FF-8952-87A63C08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67"/>
    <w:rPr>
      <w:lang w:eastAsia="sl-SI"/>
    </w:rPr>
  </w:style>
  <w:style w:type="paragraph" w:styleId="Heading1">
    <w:name w:val="heading 1"/>
    <w:basedOn w:val="Normal"/>
    <w:next w:val="Normal"/>
    <w:link w:val="Heading1Char"/>
    <w:uiPriority w:val="9"/>
    <w:qFormat/>
    <w:rsid w:val="002C1167"/>
    <w:pPr>
      <w:keepNext/>
      <w:numPr>
        <w:numId w:val="9"/>
      </w:numPr>
      <w:spacing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C1167"/>
    <w:pPr>
      <w:keepNext/>
      <w:numPr>
        <w:ilvl w:val="1"/>
        <w:numId w:val="9"/>
      </w:numPr>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C1167"/>
    <w:pPr>
      <w:keepNext/>
      <w:numPr>
        <w:ilvl w:val="2"/>
        <w:numId w:val="9"/>
      </w:numPr>
      <w:spacing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C1167"/>
    <w:pPr>
      <w:keepNext/>
      <w:numPr>
        <w:ilvl w:val="3"/>
        <w:numId w:val="9"/>
      </w:numPr>
      <w:spacing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C1167"/>
    <w:pPr>
      <w:numPr>
        <w:ilvl w:val="4"/>
        <w:numId w:val="9"/>
      </w:numPr>
      <w:spacing w:after="60"/>
      <w:ind w:right="113"/>
      <w:outlineLvl w:val="4"/>
    </w:pPr>
    <w:rPr>
      <w:b/>
      <w:bCs/>
      <w:iCs/>
      <w:szCs w:val="26"/>
    </w:rPr>
  </w:style>
  <w:style w:type="paragraph" w:styleId="Heading6">
    <w:name w:val="heading 6"/>
    <w:basedOn w:val="Normal"/>
    <w:next w:val="Normal"/>
    <w:link w:val="Heading6Char"/>
    <w:uiPriority w:val="9"/>
    <w:semiHidden/>
    <w:unhideWhenUsed/>
    <w:qFormat/>
    <w:rsid w:val="002C1167"/>
    <w:pPr>
      <w:numPr>
        <w:ilvl w:val="5"/>
        <w:numId w:val="9"/>
      </w:numPr>
      <w:spacing w:after="60"/>
      <w:outlineLvl w:val="5"/>
    </w:pPr>
    <w:rPr>
      <w:b/>
      <w:bCs/>
      <w:sz w:val="22"/>
      <w:szCs w:val="22"/>
    </w:rPr>
  </w:style>
  <w:style w:type="paragraph" w:styleId="Heading7">
    <w:name w:val="heading 7"/>
    <w:basedOn w:val="Normal"/>
    <w:next w:val="Normal"/>
    <w:link w:val="Heading7Char"/>
    <w:qFormat/>
    <w:rsid w:val="002C1167"/>
    <w:pPr>
      <w:numPr>
        <w:ilvl w:val="6"/>
        <w:numId w:val="9"/>
      </w:numPr>
      <w:spacing w:after="60"/>
      <w:outlineLvl w:val="6"/>
    </w:pPr>
  </w:style>
  <w:style w:type="paragraph" w:styleId="Heading8">
    <w:name w:val="heading 8"/>
    <w:basedOn w:val="Normal"/>
    <w:next w:val="Normal"/>
    <w:link w:val="Heading8Char"/>
    <w:qFormat/>
    <w:rsid w:val="002C1167"/>
    <w:pPr>
      <w:numPr>
        <w:ilvl w:val="7"/>
        <w:numId w:val="9"/>
      </w:numPr>
      <w:spacing w:after="60"/>
      <w:outlineLvl w:val="7"/>
    </w:pPr>
    <w:rPr>
      <w:i/>
      <w:iCs/>
    </w:rPr>
  </w:style>
  <w:style w:type="paragraph" w:styleId="Heading9">
    <w:name w:val="heading 9"/>
    <w:basedOn w:val="Normal"/>
    <w:next w:val="Normal"/>
    <w:link w:val="Heading9Char"/>
    <w:qFormat/>
    <w:rsid w:val="002C1167"/>
    <w:pPr>
      <w:numPr>
        <w:ilvl w:val="8"/>
        <w:numId w:val="9"/>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2C1167"/>
    <w:rPr>
      <w:rFonts w:ascii="Arial" w:hAnsi="Arial" w:cs="Arial"/>
      <w:b/>
      <w:bCs/>
      <w:kern w:val="32"/>
      <w:sz w:val="32"/>
      <w:szCs w:val="32"/>
    </w:rPr>
  </w:style>
  <w:style w:type="character" w:customStyle="1" w:styleId="Heading2Char">
    <w:name w:val="Heading 2 Char"/>
    <w:link w:val="Heading2"/>
    <w:rsid w:val="002C1167"/>
    <w:rPr>
      <w:rFonts w:ascii="Arial" w:hAnsi="Arial" w:cs="Arial"/>
      <w:b/>
      <w:bCs/>
      <w:i/>
      <w:iCs/>
      <w:sz w:val="28"/>
      <w:szCs w:val="28"/>
    </w:rPr>
  </w:style>
  <w:style w:type="character" w:customStyle="1" w:styleId="Heading3Char">
    <w:name w:val="Heading 3 Char"/>
    <w:link w:val="Heading3"/>
    <w:rsid w:val="002C1167"/>
    <w:rPr>
      <w:rFonts w:ascii="Arial" w:hAnsi="Arial" w:cs="Arial"/>
      <w:b/>
      <w:bCs/>
      <w:sz w:val="26"/>
      <w:szCs w:val="26"/>
    </w:rPr>
  </w:style>
  <w:style w:type="character" w:customStyle="1" w:styleId="Heading4Char">
    <w:name w:val="Heading 4 Char"/>
    <w:link w:val="Heading4"/>
    <w:uiPriority w:val="9"/>
    <w:rsid w:val="002C1167"/>
    <w:rPr>
      <w:rFonts w:ascii="Calibri" w:hAnsi="Calibri"/>
      <w:b/>
      <w:bCs/>
      <w:sz w:val="28"/>
      <w:szCs w:val="28"/>
    </w:rPr>
  </w:style>
  <w:style w:type="character" w:customStyle="1" w:styleId="Heading5Char">
    <w:name w:val="Heading 5 Char"/>
    <w:link w:val="Heading5"/>
    <w:rsid w:val="002C1167"/>
    <w:rPr>
      <w:b/>
      <w:bCs/>
      <w:iCs/>
      <w:sz w:val="24"/>
      <w:szCs w:val="26"/>
    </w:rPr>
  </w:style>
  <w:style w:type="character" w:customStyle="1" w:styleId="Heading6Char">
    <w:name w:val="Heading 6 Char"/>
    <w:link w:val="Heading6"/>
    <w:rsid w:val="002C1167"/>
    <w:rPr>
      <w:b/>
      <w:bCs/>
      <w:sz w:val="22"/>
      <w:szCs w:val="22"/>
    </w:rPr>
  </w:style>
  <w:style w:type="character" w:customStyle="1" w:styleId="Heading7Char">
    <w:name w:val="Heading 7 Char"/>
    <w:link w:val="Heading7"/>
    <w:rsid w:val="002C1167"/>
    <w:rPr>
      <w:sz w:val="24"/>
      <w:szCs w:val="24"/>
    </w:rPr>
  </w:style>
  <w:style w:type="character" w:customStyle="1" w:styleId="Heading8Char">
    <w:name w:val="Heading 8 Char"/>
    <w:link w:val="Heading8"/>
    <w:rsid w:val="002C1167"/>
    <w:rPr>
      <w:i/>
      <w:iCs/>
      <w:sz w:val="24"/>
      <w:szCs w:val="24"/>
    </w:rPr>
  </w:style>
  <w:style w:type="character" w:customStyle="1" w:styleId="Heading9Char">
    <w:name w:val="Heading 9 Char"/>
    <w:link w:val="Heading9"/>
    <w:rsid w:val="002C1167"/>
    <w:rPr>
      <w:rFonts w:ascii="Arial" w:hAnsi="Arial" w:cs="Arial"/>
      <w:sz w:val="22"/>
      <w:szCs w:val="22"/>
    </w:rPr>
  </w:style>
  <w:style w:type="character" w:styleId="Strong">
    <w:name w:val="Strong"/>
    <w:uiPriority w:val="22"/>
    <w:qFormat/>
    <w:rsid w:val="002C1167"/>
    <w:rPr>
      <w:b/>
      <w:bCs/>
    </w:rPr>
  </w:style>
  <w:style w:type="character" w:styleId="Emphasis">
    <w:name w:val="Emphasis"/>
    <w:uiPriority w:val="20"/>
    <w:qFormat/>
    <w:rsid w:val="002C1167"/>
    <w:rPr>
      <w:b/>
      <w:bCs/>
      <w:i w:val="0"/>
      <w:iCs w:val="0"/>
    </w:rPr>
  </w:style>
  <w:style w:type="paragraph" w:styleId="Header">
    <w:name w:val="header"/>
    <w:basedOn w:val="Normal"/>
    <w:link w:val="HeaderChar"/>
    <w:unhideWhenUsed/>
    <w:rsid w:val="00ED3094"/>
    <w:pPr>
      <w:tabs>
        <w:tab w:val="center" w:pos="4536"/>
        <w:tab w:val="right" w:pos="9072"/>
      </w:tabs>
      <w:spacing w:before="0" w:after="0"/>
    </w:pPr>
  </w:style>
  <w:style w:type="character" w:customStyle="1" w:styleId="HeaderChar">
    <w:name w:val="Header Char"/>
    <w:link w:val="Header"/>
    <w:rsid w:val="00ED3094"/>
    <w:rPr>
      <w:sz w:val="24"/>
      <w:szCs w:val="24"/>
    </w:rPr>
  </w:style>
  <w:style w:type="paragraph" w:styleId="Footer">
    <w:name w:val="footer"/>
    <w:basedOn w:val="Normal"/>
    <w:link w:val="FooterChar"/>
    <w:uiPriority w:val="99"/>
    <w:unhideWhenUsed/>
    <w:rsid w:val="00ED3094"/>
    <w:pPr>
      <w:tabs>
        <w:tab w:val="center" w:pos="4536"/>
        <w:tab w:val="right" w:pos="9072"/>
      </w:tabs>
      <w:spacing w:before="0" w:after="0"/>
    </w:pPr>
  </w:style>
  <w:style w:type="character" w:customStyle="1" w:styleId="FooterChar">
    <w:name w:val="Footer Char"/>
    <w:link w:val="Footer"/>
    <w:uiPriority w:val="99"/>
    <w:rsid w:val="00ED3094"/>
    <w:rPr>
      <w:sz w:val="24"/>
      <w:szCs w:val="24"/>
    </w:rPr>
  </w:style>
  <w:style w:type="paragraph" w:styleId="BalloonText">
    <w:name w:val="Balloon Text"/>
    <w:basedOn w:val="Normal"/>
    <w:link w:val="BalloonTextChar"/>
    <w:uiPriority w:val="99"/>
    <w:semiHidden/>
    <w:unhideWhenUsed/>
    <w:rsid w:val="00ED3094"/>
    <w:pPr>
      <w:spacing w:before="0" w:after="0"/>
    </w:pPr>
    <w:rPr>
      <w:rFonts w:ascii="Tahoma" w:hAnsi="Tahoma" w:cs="Tahoma"/>
      <w:sz w:val="16"/>
      <w:szCs w:val="16"/>
    </w:rPr>
  </w:style>
  <w:style w:type="character" w:customStyle="1" w:styleId="BalloonTextChar">
    <w:name w:val="Balloon Text Char"/>
    <w:link w:val="BalloonText"/>
    <w:uiPriority w:val="99"/>
    <w:semiHidden/>
    <w:rsid w:val="00ED3094"/>
    <w:rPr>
      <w:rFonts w:ascii="Tahoma" w:hAnsi="Tahoma" w:cs="Tahoma"/>
      <w:sz w:val="16"/>
      <w:szCs w:val="16"/>
    </w:rPr>
  </w:style>
  <w:style w:type="paragraph" w:styleId="ListParagraph">
    <w:name w:val="List Paragraph"/>
    <w:basedOn w:val="Normal"/>
    <w:uiPriority w:val="34"/>
    <w:qFormat/>
    <w:rsid w:val="007C3EF3"/>
    <w:pPr>
      <w:ind w:left="720"/>
      <w:contextualSpacing/>
    </w:pPr>
  </w:style>
  <w:style w:type="table" w:styleId="GridTable3-Accent3">
    <w:name w:val="Grid Table 3 Accent 3"/>
    <w:basedOn w:val="TableNormal"/>
    <w:uiPriority w:val="48"/>
    <w:rsid w:val="002321F4"/>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Hyperlink">
    <w:name w:val="Hyperlink"/>
    <w:basedOn w:val="DefaultParagraphFont"/>
    <w:uiPriority w:val="99"/>
    <w:unhideWhenUsed/>
    <w:rsid w:val="009521E4"/>
    <w:rPr>
      <w:color w:val="0563C1" w:themeColor="hyperlink"/>
      <w:u w:val="single"/>
    </w:rPr>
  </w:style>
  <w:style w:type="character" w:styleId="UnresolvedMention">
    <w:name w:val="Unresolved Mention"/>
    <w:basedOn w:val="DefaultParagraphFont"/>
    <w:uiPriority w:val="99"/>
    <w:semiHidden/>
    <w:unhideWhenUsed/>
    <w:rsid w:val="0095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3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ie/statistics/graduate-outcomes-data-and-reports/graduate-outcomes-survey-2023/" TargetMode="External"/><Relationship Id="rId13" Type="http://schemas.openxmlformats.org/officeDocument/2006/relationships/hyperlink" Target="https://www.ucc.ie/en/media/support/careers/EmployabilityFramework2025-2028final.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s.ie/news/tus-maintains-top-graduate-employment-rate-in-ireland-for-second-year-runn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ET-03-2022-00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rishtimes.com/ireland/education/2022/06/21/how-universities-prepare-graduates-for-the-workpla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ea.ie/funding-governance-performance/managing-performance/system-performance-framewor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9E5sSN3WTaklcp5pA8ohoggiQ==">CgMxLjAyCGguZ2pkZ3hzOAByITF6c0VWc3luY2tKTXd6MFg2TkFvZUlqLUN3TVA4N2FFdA==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2687</Words>
  <Characters>18756</Characters>
  <Application>Microsoft Office Word</Application>
  <DocSecurity>0</DocSecurity>
  <Lines>416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dc:creator>
  <cp:lastModifiedBy>Gugulethu Ncube</cp:lastModifiedBy>
  <cp:revision>10</cp:revision>
  <dcterms:created xsi:type="dcterms:W3CDTF">2025-07-16T12:07:00Z</dcterms:created>
  <dcterms:modified xsi:type="dcterms:W3CDTF">2025-07-17T00:09:00Z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642dd150-9c5c-4ea1-a3d1-b2a37b400015</vt:lpwstr>
  </property>
</Properties>
</file>